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4758" w14:textId="77777777" w:rsidR="00C42029" w:rsidRPr="00913CA1" w:rsidRDefault="00C42029" w:rsidP="00913CA1">
      <w:pPr>
        <w:spacing w:line="480" w:lineRule="auto"/>
        <w:rPr>
          <w:rFonts w:ascii="Times New Roman" w:hAnsi="Times New Roman" w:cs="Times New Roman"/>
        </w:rPr>
      </w:pPr>
    </w:p>
    <w:p w14:paraId="3E210127" w14:textId="77777777" w:rsidR="00C42029" w:rsidRPr="00913CA1" w:rsidRDefault="00C42029" w:rsidP="00913CA1">
      <w:pPr>
        <w:spacing w:line="480" w:lineRule="auto"/>
        <w:rPr>
          <w:rFonts w:ascii="Times New Roman" w:hAnsi="Times New Roman" w:cs="Times New Roman"/>
        </w:rPr>
      </w:pPr>
    </w:p>
    <w:p w14:paraId="1AAE5FA0" w14:textId="77777777" w:rsidR="00C42029" w:rsidRPr="00913CA1" w:rsidRDefault="00C42029" w:rsidP="00913CA1">
      <w:pPr>
        <w:spacing w:line="480" w:lineRule="auto"/>
        <w:rPr>
          <w:rFonts w:ascii="Times New Roman" w:hAnsi="Times New Roman" w:cs="Times New Roman"/>
        </w:rPr>
      </w:pPr>
    </w:p>
    <w:p w14:paraId="7DD0A055" w14:textId="77777777" w:rsidR="00C42029" w:rsidRPr="00913CA1" w:rsidRDefault="00C42029" w:rsidP="00913CA1">
      <w:pPr>
        <w:spacing w:line="480" w:lineRule="auto"/>
        <w:rPr>
          <w:rFonts w:ascii="Times New Roman" w:hAnsi="Times New Roman" w:cs="Times New Roman"/>
        </w:rPr>
      </w:pPr>
    </w:p>
    <w:p w14:paraId="72D89238" w14:textId="77777777" w:rsidR="00C42029" w:rsidRPr="00913CA1" w:rsidRDefault="00C42029" w:rsidP="00913CA1">
      <w:pPr>
        <w:spacing w:line="480" w:lineRule="auto"/>
        <w:rPr>
          <w:rFonts w:ascii="Times New Roman" w:hAnsi="Times New Roman" w:cs="Times New Roman"/>
        </w:rPr>
      </w:pPr>
    </w:p>
    <w:p w14:paraId="1C8B22EC" w14:textId="77777777" w:rsidR="00C42029" w:rsidRPr="00913CA1" w:rsidRDefault="00C42029" w:rsidP="00913CA1">
      <w:pPr>
        <w:spacing w:line="480" w:lineRule="auto"/>
        <w:rPr>
          <w:rFonts w:ascii="Times New Roman" w:hAnsi="Times New Roman" w:cs="Times New Roman"/>
        </w:rPr>
      </w:pPr>
    </w:p>
    <w:p w14:paraId="1F34B399" w14:textId="77777777" w:rsidR="00C42029" w:rsidRPr="00913CA1" w:rsidRDefault="00C42029" w:rsidP="00913CA1">
      <w:pPr>
        <w:spacing w:line="480" w:lineRule="auto"/>
        <w:rPr>
          <w:rFonts w:ascii="Times New Roman" w:hAnsi="Times New Roman" w:cs="Times New Roman"/>
        </w:rPr>
      </w:pPr>
    </w:p>
    <w:p w14:paraId="543223AB" w14:textId="268D5A34" w:rsidR="00E10E9C" w:rsidRPr="00913CA1" w:rsidRDefault="00E10E9C" w:rsidP="00913CA1">
      <w:pPr>
        <w:tabs>
          <w:tab w:val="left" w:pos="4060"/>
        </w:tabs>
        <w:spacing w:line="480" w:lineRule="auto"/>
        <w:jc w:val="center"/>
        <w:rPr>
          <w:rFonts w:ascii="Times New Roman" w:hAnsi="Times New Roman" w:cs="Times New Roman"/>
        </w:rPr>
      </w:pPr>
      <w:r w:rsidRPr="00913CA1">
        <w:rPr>
          <w:rFonts w:ascii="Times New Roman" w:hAnsi="Times New Roman" w:cs="Times New Roman"/>
          <w:b/>
          <w:bCs/>
        </w:rPr>
        <w:t>Applications of Machine Learning Models in Heart Disease Outcome Prediction</w:t>
      </w:r>
    </w:p>
    <w:p w14:paraId="7D53AF06" w14:textId="228F3768" w:rsidR="00C42029" w:rsidRPr="00913CA1" w:rsidRDefault="00C42029" w:rsidP="00913CA1">
      <w:pPr>
        <w:tabs>
          <w:tab w:val="left" w:pos="4060"/>
        </w:tabs>
        <w:spacing w:line="480" w:lineRule="auto"/>
        <w:rPr>
          <w:rFonts w:ascii="Times New Roman" w:hAnsi="Times New Roman" w:cs="Times New Roman"/>
        </w:rPr>
      </w:pPr>
    </w:p>
    <w:p w14:paraId="789DF3FF" w14:textId="32D854DF" w:rsidR="00C42029" w:rsidRPr="00913CA1" w:rsidRDefault="00C42029" w:rsidP="00913CA1">
      <w:pPr>
        <w:tabs>
          <w:tab w:val="left" w:pos="4050"/>
        </w:tabs>
        <w:spacing w:line="480" w:lineRule="auto"/>
        <w:jc w:val="center"/>
        <w:rPr>
          <w:rFonts w:ascii="Times New Roman" w:hAnsi="Times New Roman" w:cs="Times New Roman"/>
        </w:rPr>
      </w:pPr>
      <w:r w:rsidRPr="00913CA1">
        <w:rPr>
          <w:rFonts w:ascii="Times New Roman" w:hAnsi="Times New Roman" w:cs="Times New Roman"/>
        </w:rPr>
        <w:t xml:space="preserve">Nhan </w:t>
      </w:r>
      <w:r w:rsidR="00AA2063" w:rsidRPr="00913CA1">
        <w:rPr>
          <w:rFonts w:ascii="Times New Roman" w:hAnsi="Times New Roman" w:cs="Times New Roman"/>
        </w:rPr>
        <w:t>Ngoc Thach</w:t>
      </w:r>
    </w:p>
    <w:p w14:paraId="17DD9EF2" w14:textId="0FB6F211" w:rsidR="00C42029" w:rsidRPr="00913CA1" w:rsidRDefault="00C42029" w:rsidP="00913CA1">
      <w:pPr>
        <w:tabs>
          <w:tab w:val="left" w:pos="4050"/>
        </w:tabs>
        <w:spacing w:line="480" w:lineRule="auto"/>
        <w:jc w:val="center"/>
        <w:rPr>
          <w:rFonts w:ascii="Times New Roman" w:hAnsi="Times New Roman" w:cs="Times New Roman"/>
        </w:rPr>
      </w:pPr>
      <w:r w:rsidRPr="00913CA1">
        <w:rPr>
          <w:rFonts w:ascii="Times New Roman" w:hAnsi="Times New Roman" w:cs="Times New Roman"/>
        </w:rPr>
        <w:t>Suffolk University</w:t>
      </w:r>
    </w:p>
    <w:p w14:paraId="5104825D" w14:textId="77777777" w:rsidR="00C42029" w:rsidRPr="00913CA1" w:rsidRDefault="00C42029" w:rsidP="00913CA1">
      <w:pPr>
        <w:tabs>
          <w:tab w:val="left" w:pos="4050"/>
        </w:tabs>
        <w:spacing w:line="480" w:lineRule="auto"/>
        <w:jc w:val="center"/>
        <w:rPr>
          <w:rFonts w:ascii="Times New Roman" w:hAnsi="Times New Roman" w:cs="Times New Roman"/>
        </w:rPr>
      </w:pPr>
      <w:r w:rsidRPr="00913CA1">
        <w:rPr>
          <w:rFonts w:ascii="Times New Roman" w:hAnsi="Times New Roman" w:cs="Times New Roman"/>
        </w:rPr>
        <w:t>AE 061: Graduate Writing and Research Skills</w:t>
      </w:r>
    </w:p>
    <w:p w14:paraId="2A7FA483" w14:textId="727274BA" w:rsidR="00C42029" w:rsidRPr="00913CA1" w:rsidRDefault="001F6749" w:rsidP="00913CA1">
      <w:pPr>
        <w:tabs>
          <w:tab w:val="left" w:pos="4050"/>
        </w:tabs>
        <w:spacing w:line="480" w:lineRule="auto"/>
        <w:jc w:val="center"/>
        <w:rPr>
          <w:rFonts w:ascii="Times New Roman" w:hAnsi="Times New Roman" w:cs="Times New Roman"/>
        </w:rPr>
      </w:pPr>
      <w:r w:rsidRPr="00913CA1">
        <w:rPr>
          <w:rFonts w:ascii="Times New Roman" w:hAnsi="Times New Roman" w:cs="Times New Roman"/>
        </w:rPr>
        <w:t xml:space="preserve">Prof. </w:t>
      </w:r>
      <w:r w:rsidR="00C42029" w:rsidRPr="00913CA1">
        <w:rPr>
          <w:rFonts w:ascii="Times New Roman" w:hAnsi="Times New Roman" w:cs="Times New Roman"/>
        </w:rPr>
        <w:t>Jennifer Lacano</w:t>
      </w:r>
    </w:p>
    <w:p w14:paraId="752D9CFE" w14:textId="7DE27386" w:rsidR="00C42029" w:rsidRPr="00913CA1" w:rsidRDefault="00F34C5A" w:rsidP="00913CA1">
      <w:pPr>
        <w:tabs>
          <w:tab w:val="left" w:pos="4050"/>
        </w:tabs>
        <w:spacing w:line="480" w:lineRule="auto"/>
        <w:jc w:val="center"/>
        <w:rPr>
          <w:rFonts w:ascii="Times New Roman" w:hAnsi="Times New Roman" w:cs="Times New Roman"/>
        </w:rPr>
        <w:sectPr w:rsidR="00C42029" w:rsidRPr="00913CA1">
          <w:headerReference w:type="default" r:id="rId8"/>
          <w:pgSz w:w="12240" w:h="15840"/>
          <w:pgMar w:top="1440" w:right="1440" w:bottom="1440" w:left="1440" w:header="720" w:footer="720" w:gutter="0"/>
          <w:cols w:space="720"/>
          <w:docGrid w:linePitch="360"/>
        </w:sectPr>
      </w:pPr>
      <w:r>
        <w:rPr>
          <w:rFonts w:ascii="Times New Roman" w:hAnsi="Times New Roman" w:cs="Times New Roman"/>
        </w:rPr>
        <w:t>April 2</w:t>
      </w:r>
      <w:r w:rsidR="00665A41">
        <w:rPr>
          <w:rFonts w:ascii="Times New Roman" w:hAnsi="Times New Roman" w:cs="Times New Roman"/>
        </w:rPr>
        <w:t>5</w:t>
      </w:r>
      <w:r>
        <w:rPr>
          <w:rFonts w:ascii="Times New Roman" w:hAnsi="Times New Roman" w:cs="Times New Roman"/>
        </w:rPr>
        <w:t>, 2026</w:t>
      </w:r>
    </w:p>
    <w:p w14:paraId="05703E14" w14:textId="0267289A" w:rsidR="00924557" w:rsidRPr="001167BB" w:rsidRDefault="00007AD3" w:rsidP="00DD6A65">
      <w:pPr>
        <w:spacing w:line="480" w:lineRule="auto"/>
        <w:ind w:firstLine="720"/>
        <w:rPr>
          <w:rFonts w:ascii="Times New Roman" w:hAnsi="Times New Roman" w:cs="Times New Roman"/>
          <w:b/>
          <w:bCs/>
        </w:rPr>
      </w:pPr>
      <w:r w:rsidRPr="001167BB">
        <w:rPr>
          <w:rFonts w:ascii="Times New Roman" w:hAnsi="Times New Roman" w:cs="Times New Roman"/>
          <w:b/>
          <w:bCs/>
        </w:rPr>
        <w:lastRenderedPageBreak/>
        <w:t>Applications of Machine Learning Models in Heart Disease Outcome Prediction</w:t>
      </w:r>
    </w:p>
    <w:p w14:paraId="0694F882"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Cardiovascular disease remains one of the leading causes of mortality worldwide and continues to place significant pressure on healthcare systems. Increasing numbers of patients with heart related conditions create challenges for clinicians who must make accurate and timely decisions. Early identification of high-risk patients plays a critical role in reducing mortality, improving treatment strategies, and optimizing healthcare resources. Machine learning models have been widely applied to predict outcomes such as mortality, hospital readmission, and disease occurrence using large scale clinical and administrative data. These models are capable of identifying complex relationships within patient data that are difficult to detect using traditional analytical approaches. Growing reliance on machine learning reflects the need for more advanced tools to support clinical decision making.</w:t>
      </w:r>
    </w:p>
    <w:p w14:paraId="1C0E5132" w14:textId="4D827952"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 xml:space="preserve">Inconsistency in research design limits the reliability and comparability of findings across studies. Differences in outcome definition, dataset characteristics, preprocessing strategies, and evaluation methods create variation in reported results. High predictive accuracy in one study may not be maintained when models are applied to different populations or healthcare environments (Sabouri et al., 2023). Variation in experimental conditions further complicates interpretation because differences in performance may reflect changes in analytical design rather than improvements in model capability (Xu et al., 2025; Luo et al., 2025). These inconsistencies reduce confidence in predictive models and create barriers for real world application. Analytical </w:t>
      </w:r>
      <w:r w:rsidR="00F93309" w:rsidRPr="001167BB">
        <w:rPr>
          <w:rFonts w:ascii="Times New Roman" w:hAnsi="Times New Roman" w:cs="Times New Roman"/>
        </w:rPr>
        <w:t>design</w:t>
      </w:r>
      <w:r w:rsidR="00886E9F">
        <w:rPr>
          <w:rFonts w:ascii="Times New Roman" w:hAnsi="Times New Roman" w:cs="Times New Roman"/>
        </w:rPr>
        <w:t>,</w:t>
      </w:r>
      <w:r w:rsidR="008B384F">
        <w:rPr>
          <w:rFonts w:ascii="Times New Roman" w:hAnsi="Times New Roman" w:cs="Times New Roman"/>
        </w:rPr>
        <w:t xml:space="preserve"> </w:t>
      </w:r>
      <w:r w:rsidR="00F93309" w:rsidRPr="001167BB">
        <w:rPr>
          <w:rFonts w:ascii="Times New Roman" w:hAnsi="Times New Roman" w:cs="Times New Roman"/>
        </w:rPr>
        <w:t>therefore</w:t>
      </w:r>
      <w:r w:rsidR="00886E9F">
        <w:rPr>
          <w:rFonts w:ascii="Times New Roman" w:hAnsi="Times New Roman" w:cs="Times New Roman"/>
        </w:rPr>
        <w:t>,</w:t>
      </w:r>
      <w:r w:rsidRPr="001167BB">
        <w:rPr>
          <w:rFonts w:ascii="Times New Roman" w:hAnsi="Times New Roman" w:cs="Times New Roman"/>
        </w:rPr>
        <w:t xml:space="preserve"> becomes a key factor in understanding model performance.</w:t>
      </w:r>
    </w:p>
    <w:p w14:paraId="6C4DA6F4" w14:textId="3BECABC1" w:rsidR="00007AD3" w:rsidRPr="001167BB" w:rsidRDefault="00CE1D89" w:rsidP="00CE1D89">
      <w:pPr>
        <w:spacing w:line="480" w:lineRule="auto"/>
        <w:ind w:firstLine="720"/>
        <w:rPr>
          <w:rFonts w:ascii="Times New Roman" w:hAnsi="Times New Roman" w:cs="Times New Roman"/>
        </w:rPr>
      </w:pPr>
      <w:r w:rsidRPr="00CE1D89">
        <w:rPr>
          <w:rFonts w:ascii="Times New Roman" w:hAnsi="Times New Roman" w:cs="Times New Roman"/>
        </w:rPr>
        <w:t xml:space="preserve">Analytical design determines whether predictive models can be successfully implemented in clinical environments. Healthcare systems require models that are accurate, stable, interpretable, and generalizable across diverse patient populations. Lack of consistency in study </w:t>
      </w:r>
      <w:r w:rsidRPr="00CE1D89">
        <w:rPr>
          <w:rFonts w:ascii="Times New Roman" w:hAnsi="Times New Roman" w:cs="Times New Roman"/>
        </w:rPr>
        <w:lastRenderedPageBreak/>
        <w:t>design makes it difficult for clinicians to understand how models generate predictions and whether those predictions can be trusted. Limited interpretability further reduces the likelihood of adoption in practice. Greater attention to analytical design improves usability and supports the integration of machine learning into healthcare systems. Therefore, these factors influence both technical performance and practical application.</w:t>
      </w:r>
    </w:p>
    <w:p w14:paraId="10631CD4" w14:textId="136F9B71" w:rsidR="00F93309"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Analytical design factors, including outcome definition, dataset characteristics, preprocessing strategies, and evaluation methods, have a greater influence on model reliability and applicability than algorithm selection alone. Examination of these factors provides insight into why results vary across studies and how model performance can be improved. A structured analytical approach supports the development of more reliable prediction models and enhances their usefulness in healthcare decision making.</w:t>
      </w:r>
    </w:p>
    <w:p w14:paraId="0391108F" w14:textId="3BAB0263" w:rsidR="00F93309" w:rsidRPr="001167BB" w:rsidRDefault="00007AD3" w:rsidP="001C1AD5">
      <w:pPr>
        <w:spacing w:line="480" w:lineRule="auto"/>
        <w:ind w:firstLine="720"/>
        <w:jc w:val="center"/>
        <w:rPr>
          <w:rFonts w:ascii="Times New Roman" w:hAnsi="Times New Roman" w:cs="Times New Roman"/>
          <w:b/>
          <w:bCs/>
        </w:rPr>
      </w:pPr>
      <w:r w:rsidRPr="001167BB">
        <w:rPr>
          <w:rFonts w:ascii="Times New Roman" w:hAnsi="Times New Roman" w:cs="Times New Roman"/>
          <w:b/>
          <w:bCs/>
        </w:rPr>
        <w:t>Outcome Definition and Data Characteristics</w:t>
      </w:r>
    </w:p>
    <w:p w14:paraId="76E71B41"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Outcome definition forms the foundation of machine learning model development because it determines the objective of prediction and the criteria used for evaluation. Different studies define outcomes based on their research goals and available data. Xu et al. (2025) focus on long term mortality in patients with chronic heart failure, which requires models to capture patterns across extended time periods. Fei et al. (2025) examine disease occurrence in older hypertensive populations, focusing on whether patients develop heart disease within a defined timeframe. Broader approaches include models that integrate multiple outcomes such as readmission and mortality to capture different aspects of patient risk (Sabouri et al., 2023). Variation in outcome definition reflects differences in study objectives and shapes the direction of model development.</w:t>
      </w:r>
    </w:p>
    <w:p w14:paraId="1B0D7A50"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lastRenderedPageBreak/>
        <w:t>Outcome definition directly influences how models are constructed and how patterns are learned from data. Long term mortality prediction requires models to analyze longitudinal relationships and interactions across multiple variables. Disease occurrence models rely more heavily on recent clinical indicators and short-term patient conditions. Multi outcome models extend analytical scope by combining different prediction tasks, which increases model complexity and requires more advanced evaluation (Sabouri et al., 2023). Increased complexity can reduce interpretability, which is a critical factor in clinical environments. Differences in modeling approaches demonstrate how outcome definition affects both technical design and practical use.</w:t>
      </w:r>
    </w:p>
    <w:p w14:paraId="6F19FF8A"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Differences in outcome definition also influence the level of uncertainty in model predictions. Long term outcomes involve greater variability because patient conditions may change over time due to treatment or disease progression. Models trained in these outcomes must account for dynamic patterns, which increases analytical complexity (Xu et al., 2025). Short term prediction tasks rely on more immediate indicators and may produce more stable predictions but may not capture long term risk. These differences show how outcome definition affects both prediction reliability and practical application.</w:t>
      </w:r>
    </w:p>
    <w:p w14:paraId="536D3EFA"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Comparison across studies highlights the importance of consistent outcome definition. Models developed for different prediction targets cannot be directly compared even when similar evaluation metrics are reported. High performance in mortality prediction does not necessarily indicate better performance than a model predicting disease occurrence because the underlying problems differ (Fei et al., 2025; Sabouri et al., 2023). Variation in interpretation limits comparability and reduces the ability to establish benchmarks. Consistent outcome definition improves reliability of comparisons and supports more meaningful evaluation of models.</w:t>
      </w:r>
    </w:p>
    <w:p w14:paraId="1A24EC88" w14:textId="3EBEC65E" w:rsidR="00F93309"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lastRenderedPageBreak/>
        <w:t>Outcome definition also affects variable selection and dataset structure. Mortality prediction models often depend on long term clinical histories, including comorbidities and treatment patterns, while disease occurrence models rely more on recent measurements such as laboratory results and vital signs. These differences influence how datasets are constructed and how models are trained, which affects performance consistency across healthcare settings (Xu et al., 2025; Fei et al., 2025). Clear alignment between outcome definition and data selection improves model relevance and supports more accurate predictions.</w:t>
      </w:r>
    </w:p>
    <w:p w14:paraId="3EDF8331" w14:textId="37CCCE8E" w:rsidR="00F93309" w:rsidRPr="001167BB" w:rsidRDefault="00007AD3" w:rsidP="00007AD3">
      <w:pPr>
        <w:spacing w:line="480" w:lineRule="auto"/>
        <w:ind w:firstLine="720"/>
        <w:jc w:val="center"/>
        <w:rPr>
          <w:rFonts w:ascii="Times New Roman" w:hAnsi="Times New Roman" w:cs="Times New Roman"/>
          <w:b/>
          <w:bCs/>
        </w:rPr>
      </w:pPr>
      <w:r w:rsidRPr="001167BB">
        <w:rPr>
          <w:rFonts w:ascii="Times New Roman" w:hAnsi="Times New Roman" w:cs="Times New Roman"/>
          <w:b/>
          <w:bCs/>
        </w:rPr>
        <w:t>Data Preparation and Modeling Design</w:t>
      </w:r>
    </w:p>
    <w:p w14:paraId="7E0834C9" w14:textId="77777777" w:rsidR="00C34DB2" w:rsidRPr="00C34DB2" w:rsidRDefault="00C34DB2" w:rsidP="00C34DB2">
      <w:pPr>
        <w:spacing w:line="480" w:lineRule="auto"/>
        <w:ind w:firstLine="720"/>
        <w:rPr>
          <w:rFonts w:ascii="Times New Roman" w:hAnsi="Times New Roman" w:cs="Times New Roman"/>
        </w:rPr>
      </w:pPr>
      <w:r w:rsidRPr="00C34DB2">
        <w:rPr>
          <w:rFonts w:ascii="Times New Roman" w:hAnsi="Times New Roman" w:cs="Times New Roman"/>
        </w:rPr>
        <w:t>Dataset characteristics and data availability play a significant role in shaping machine learning model performance. Large datasets that combine administrative and clinical data enable broader population level analysis and improve generalizability across diverse patient groups. Htoo et al. (2025) use a dataset that integrates Medicare claims with electronic health records, allowing analysis across multiple sources of patient information. Larger datasets increase the ability of models to identify patterns across populations, which enhances the stability of predictions. However, administrative data often contain missing values and inconsistencies that may introduce bias and reduce accuracy (Htoo et al., 2025). Therefore, tradeoffs between data scale and data quality must be carefully managed.</w:t>
      </w:r>
    </w:p>
    <w:p w14:paraId="4CB7D2E9"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Smaller clinical datasets provide more precise measurements but may lack diversity across populations. Structured clinical variables improve measurement accuracy and reduce noise in the data, but limited sample size may restrict generalizability (Xu et al., 2025). Models trained on smaller datasets may perform well in controlled environments but may not maintain performance in broader healthcare settings. Comparison between large scale and smaller datasets highlights how dataset characteristics influence both reliability and applicability of models.</w:t>
      </w:r>
    </w:p>
    <w:p w14:paraId="294839AE" w14:textId="77777777" w:rsidR="0049160E" w:rsidRPr="0049160E" w:rsidRDefault="0049160E" w:rsidP="0049160E">
      <w:pPr>
        <w:spacing w:line="480" w:lineRule="auto"/>
        <w:ind w:firstLine="720"/>
        <w:rPr>
          <w:rFonts w:ascii="Times New Roman" w:hAnsi="Times New Roman" w:cs="Times New Roman"/>
        </w:rPr>
      </w:pPr>
      <w:r w:rsidRPr="0049160E">
        <w:rPr>
          <w:rFonts w:ascii="Times New Roman" w:hAnsi="Times New Roman" w:cs="Times New Roman"/>
        </w:rPr>
        <w:lastRenderedPageBreak/>
        <w:t>Data preparation determines how raw data is transformed into a format suitable for model training. Preprocessing includes handling missing values, selecting relevant variables, and organizing predictors into structured formats. Xu et al. (2025) group predictors to improve the consistency of model inputs, while Fei et al. (2025) apply feature selection and address missing data before training. Reducing the number of variables simplifies model structure and lowers complexity, which helps prevent overfitting (Sabouri et al., 2023). However, excessive reduction may remove important information and negatively affect predictive performance. Therefore, balance between simplicity and completeness is necessary.</w:t>
      </w:r>
    </w:p>
    <w:p w14:paraId="3334799E"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Data heterogeneity introduces additional challenges that influence model performance. Differences in data sources, variable definitions, and measurement methods can affect how models learn patterns. Administrative data often include coding variation and incomplete records, while clinical datasets may lack standardization across institutions (Htoo et al., 2025). These differences create challenges when combining datasets or applying models across multiple healthcare environments. Careful preprocessing is required to address inconsistencies and improve reliability.</w:t>
      </w:r>
    </w:p>
    <w:p w14:paraId="1888E8E4" w14:textId="3F67F4AF" w:rsidR="00007AD3" w:rsidRDefault="00B74942" w:rsidP="00007AD3">
      <w:pPr>
        <w:spacing w:line="480" w:lineRule="auto"/>
        <w:ind w:firstLine="720"/>
        <w:rPr>
          <w:rFonts w:ascii="Times New Roman" w:hAnsi="Times New Roman" w:cs="Times New Roman"/>
        </w:rPr>
      </w:pPr>
      <w:r w:rsidRPr="00B74942">
        <w:rPr>
          <w:rFonts w:ascii="Times New Roman" w:hAnsi="Times New Roman" w:cs="Times New Roman"/>
        </w:rPr>
        <w:t>Feature selection improves both performance and interpretability by focusing on meaningful variables. Models that rely on a smaller number of well-defined predictors are easier for clinicians to understand and trust. Interpretability is essential in healthcare settings because predictions must be explained clearly to support decision making. Proper handling of missing data reduces bias and improves the stability of predictions across different patient groups (Fei et al., 2025; Sabouri et al., 2023). Therefore, preprocessing plays a critical role in both technical accuracy and practical implementation.</w:t>
      </w:r>
    </w:p>
    <w:p w14:paraId="59226C55" w14:textId="77777777" w:rsidR="00B74942" w:rsidRPr="001167BB" w:rsidRDefault="00B74942" w:rsidP="00007AD3">
      <w:pPr>
        <w:spacing w:line="480" w:lineRule="auto"/>
        <w:ind w:firstLine="720"/>
        <w:rPr>
          <w:rFonts w:ascii="Times New Roman" w:hAnsi="Times New Roman" w:cs="Times New Roman"/>
        </w:rPr>
      </w:pPr>
    </w:p>
    <w:p w14:paraId="5CF955F3" w14:textId="0C8E587B" w:rsidR="00F93309" w:rsidRPr="001167BB" w:rsidRDefault="00007AD3" w:rsidP="00007AD3">
      <w:pPr>
        <w:spacing w:line="480" w:lineRule="auto"/>
        <w:ind w:firstLine="720"/>
        <w:jc w:val="center"/>
        <w:rPr>
          <w:rFonts w:ascii="Times New Roman" w:hAnsi="Times New Roman" w:cs="Times New Roman"/>
          <w:b/>
          <w:bCs/>
        </w:rPr>
      </w:pPr>
      <w:r w:rsidRPr="001167BB">
        <w:rPr>
          <w:rFonts w:ascii="Times New Roman" w:hAnsi="Times New Roman" w:cs="Times New Roman"/>
          <w:b/>
          <w:bCs/>
        </w:rPr>
        <w:lastRenderedPageBreak/>
        <w:t>Performance Evaluation and Interpretation</w:t>
      </w:r>
    </w:p>
    <w:p w14:paraId="6151B38E"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Evaluation methods determine how model performance is measured and interpreted. Consistent evaluation frameworks allow for more reliable comparison across studies. Sabouri et al. (2023) compare multiple models using a shared dataset and evaluation approach, which reduces variation caused by differences in data and methodology. Controlled experimental conditions further ensure that performance differences reflect model capability rather than external factors (Luo et al., 2025). Consistency in evaluation is essential for producing valid results.</w:t>
      </w:r>
    </w:p>
    <w:p w14:paraId="16623611"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Evaluation metrics such as AUC, accuracy, and F1 score provide different perspectives on model performance. High AUC values indicate strong ability to distinguish between high risk and low risk patients, which reflects effective classification (Sabouri et al., 2023). Accuracy measures overall correctness but may be misleading in imbalanced datasets. F1 score provides a more balanced evaluation by considering both precision and recall, making it more suitable for identifying high risk cases (Xu et al., 2025). Use of multiple metrics provides a more complete understanding of performance.</w:t>
      </w:r>
    </w:p>
    <w:p w14:paraId="50C0D7BB"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Evaluation context plays a critical role in interpreting results. Performance metrics may vary depending on dataset characteristics, including class imbalance and population diversity (Luo et al., 2025). Models evaluated under control conditions may show strong results but may not perform equally well in real world environments. Understanding evaluation context is necessary to interpret results accurately and avoid misleading conclusions.</w:t>
      </w:r>
    </w:p>
    <w:p w14:paraId="090D84D2" w14:textId="498AA2A5" w:rsidR="00B74942" w:rsidRDefault="00B74942" w:rsidP="00007AD3">
      <w:pPr>
        <w:spacing w:line="480" w:lineRule="auto"/>
        <w:ind w:firstLine="720"/>
        <w:rPr>
          <w:rFonts w:ascii="Times New Roman" w:hAnsi="Times New Roman" w:cs="Times New Roman"/>
        </w:rPr>
      </w:pPr>
      <w:r w:rsidRPr="00B74942">
        <w:rPr>
          <w:rFonts w:ascii="Times New Roman" w:hAnsi="Times New Roman" w:cs="Times New Roman"/>
        </w:rPr>
        <w:t xml:space="preserve">Threshold selection further influences evaluation outcomes. Classification models rely on decision thresholds to determine predicted outcomes, and different thresholds can change the </w:t>
      </w:r>
      <w:r w:rsidRPr="00B74942">
        <w:rPr>
          <w:rFonts w:ascii="Times New Roman" w:hAnsi="Times New Roman" w:cs="Times New Roman"/>
        </w:rPr>
        <w:lastRenderedPageBreak/>
        <w:t xml:space="preserve">balance between sensitivity and specificity. Appropriate threshold selection depends on clinical objectives, such as prioritizing detection of </w:t>
      </w:r>
      <w:r w:rsidR="00665A41" w:rsidRPr="00B74942">
        <w:rPr>
          <w:rFonts w:ascii="Times New Roman" w:hAnsi="Times New Roman" w:cs="Times New Roman"/>
        </w:rPr>
        <w:t>high-risk</w:t>
      </w:r>
      <w:r w:rsidRPr="00B74942">
        <w:rPr>
          <w:rFonts w:ascii="Times New Roman" w:hAnsi="Times New Roman" w:cs="Times New Roman"/>
        </w:rPr>
        <w:t xml:space="preserve"> patients or minimizing false positives (Xu et al., 2025). Therefore, evaluation must consider how threshold decisions affect practical use.</w:t>
      </w:r>
    </w:p>
    <w:p w14:paraId="4CCCE7F7" w14:textId="3522DD52" w:rsidR="00F93309"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External validation is critical for ensuring that models can be applied in real world settings. Models tested on a single dataset may not perform well when applied to different populations. Validation across multiple datasets improves confidence in model reliability and supports broader implementation (Sabouri et al., 2023; Luo et al., 2025). Interpretability also remains important because models must provide clear explanations of predictions to be useful in clinical practice.</w:t>
      </w:r>
    </w:p>
    <w:p w14:paraId="4DDC6D55" w14:textId="159157A7" w:rsidR="00F93309" w:rsidRPr="001167BB" w:rsidRDefault="00007AD3" w:rsidP="00007AD3">
      <w:pPr>
        <w:spacing w:line="480" w:lineRule="auto"/>
        <w:ind w:firstLine="720"/>
        <w:jc w:val="center"/>
        <w:rPr>
          <w:rFonts w:ascii="Times New Roman" w:hAnsi="Times New Roman" w:cs="Times New Roman"/>
          <w:b/>
          <w:bCs/>
        </w:rPr>
      </w:pPr>
      <w:r w:rsidRPr="001167BB">
        <w:rPr>
          <w:rFonts w:ascii="Times New Roman" w:hAnsi="Times New Roman" w:cs="Times New Roman"/>
          <w:b/>
          <w:bCs/>
        </w:rPr>
        <w:t>Practical Applicability and Healthcare Impact</w:t>
      </w:r>
    </w:p>
    <w:p w14:paraId="4BB4FEE3"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Practical applicability determines whether machine learning models can be integrated into healthcare systems and used in clinical decision making. Models trained on large datasets support population level analysis and improved resource allocation by identifying risk patterns across patient groups (Htoo et al., 2025). Larger datasets enhance the ability of models to generalize across different environments, which increases usefulness in real world applications.</w:t>
      </w:r>
    </w:p>
    <w:p w14:paraId="79A32700"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 xml:space="preserve">Workflow integration influences the effectiveness of predictive models. Models that align with existing clinical processes are easier to implement and require less adjustment from healthcare professionals. Integration with electronic health record systems allows models to access real time data and provide timely predictions (Öztekin &amp; </w:t>
      </w:r>
      <w:proofErr w:type="spellStart"/>
      <w:r w:rsidRPr="001167BB">
        <w:rPr>
          <w:rFonts w:ascii="Times New Roman" w:hAnsi="Times New Roman" w:cs="Times New Roman"/>
        </w:rPr>
        <w:t>Özyılmaz</w:t>
      </w:r>
      <w:proofErr w:type="spellEnd"/>
      <w:r w:rsidRPr="001167BB">
        <w:rPr>
          <w:rFonts w:ascii="Times New Roman" w:hAnsi="Times New Roman" w:cs="Times New Roman"/>
        </w:rPr>
        <w:t>, 2025). Alignment with workflow improves usability and increases adoption in practice.</w:t>
      </w:r>
    </w:p>
    <w:p w14:paraId="031C115B" w14:textId="1502E562" w:rsidR="00007AD3" w:rsidRPr="001167BB" w:rsidRDefault="00886E9F" w:rsidP="00007AD3">
      <w:pPr>
        <w:spacing w:line="480" w:lineRule="auto"/>
        <w:ind w:firstLine="720"/>
        <w:rPr>
          <w:rFonts w:ascii="Times New Roman" w:hAnsi="Times New Roman" w:cs="Times New Roman"/>
        </w:rPr>
      </w:pPr>
      <w:r w:rsidRPr="00886E9F">
        <w:rPr>
          <w:rFonts w:ascii="Times New Roman" w:hAnsi="Times New Roman" w:cs="Times New Roman"/>
        </w:rPr>
        <w:t xml:space="preserve">Comparison between complex and simpler models highlights an important tradeoff. Complex models may achieve higher predictive performance, but they are often more difficult to </w:t>
      </w:r>
      <w:r w:rsidRPr="00886E9F">
        <w:rPr>
          <w:rFonts w:ascii="Times New Roman" w:hAnsi="Times New Roman" w:cs="Times New Roman"/>
        </w:rPr>
        <w:lastRenderedPageBreak/>
        <w:t>interpret and implement. In contrast, simpler models are easier to use but may fail to capture all relevant patterns in the data. In healthcare settings, interpretability is as important as accuracy because clinicians must understand how predictions are generated. Therefore, balance between performance and usability is essential.</w:t>
      </w:r>
    </w:p>
    <w:p w14:paraId="66D28854"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Decision support for functionality enhances the practical value of predictive models. Models that provide actionable insights allow clinicians to make informed decisions based on predicted risk levels. Clear presentation of predictions and associated factors improves understanding and supports clinical judgment. Models that lack clear outputs may be difficult to use in practice, which reduces their impact on patient care.</w:t>
      </w:r>
    </w:p>
    <w:p w14:paraId="73E8D8FE" w14:textId="2EA830B2" w:rsidR="00F93309"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Scalability influences the broader impact of machine learning models. Models that perform well across large populations can support healthcare planning and improve system level decision making (Htoo et al., 2025). However, scalability depends on consistent analytical design to ensure stable performance across different settings. Models that lack scalability may be effective in specific contexts but may not be useful for wider implementation.</w:t>
      </w:r>
    </w:p>
    <w:p w14:paraId="203EDA20" w14:textId="0560FB3A" w:rsidR="00F93309" w:rsidRPr="001167BB" w:rsidRDefault="00007AD3" w:rsidP="00007AD3">
      <w:pPr>
        <w:spacing w:line="480" w:lineRule="auto"/>
        <w:ind w:firstLine="720"/>
        <w:jc w:val="center"/>
        <w:rPr>
          <w:rFonts w:ascii="Times New Roman" w:hAnsi="Times New Roman" w:cs="Times New Roman"/>
          <w:b/>
          <w:bCs/>
        </w:rPr>
      </w:pPr>
      <w:r w:rsidRPr="001167BB">
        <w:rPr>
          <w:rFonts w:ascii="Times New Roman" w:hAnsi="Times New Roman" w:cs="Times New Roman"/>
          <w:b/>
          <w:bCs/>
        </w:rPr>
        <w:t>Consistency and Standardization in Analytical Design</w:t>
      </w:r>
    </w:p>
    <w:p w14:paraId="7B7E5A8C"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 xml:space="preserve">Consistency in analytical design plays a critical role in improving the reliability and comparability of machine learning models in healthcare. Lack of standardization across studies creates variation in how models are developed, evaluated, and interpreted. Differences in outcome definition, preprocessing methods, and evaluation frameworks make it difficult to determine whether performance differences reflect true improvements or variations in study design (Sabouri et al., 2023; Luo et al., 2025). Standardization of analytical processes supports more meaningful comparison across studies and improves confidence in model performance. </w:t>
      </w:r>
      <w:r w:rsidRPr="001167BB">
        <w:rPr>
          <w:rFonts w:ascii="Times New Roman" w:hAnsi="Times New Roman" w:cs="Times New Roman"/>
        </w:rPr>
        <w:lastRenderedPageBreak/>
        <w:t>Clear and consistent design allows researchers and clinicians to better understand how models function and how results should be interpreted.</w:t>
      </w:r>
    </w:p>
    <w:p w14:paraId="3964A498"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Reproducibility is another important aspect of consistency in analytical design. Models that can be reproduced across different datasets and environments are more likely to be reliable in real world applications. Variation in preprocessing steps or dataset selection may lead to different results even when similar models are used (Xu et al., 2025). Reproducibility requires careful documentation of analytical methods and consistent application of preprocessing and evaluation techniques. Improved reproducibility supports transparency and allows findings to be validated across different healthcare settings.</w:t>
      </w:r>
    </w:p>
    <w:p w14:paraId="650B3F3F"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Comparison across studies further highlights the importance of standardized approaches. Models evaluated under consistent conditions provide more reliable benchmarks for performance comparison. Without standardization, it becomes difficult to identify which models are truly effective. Differences in data quality, population characteristics, and evaluation methods can create misleading conclusions if not properly controlled (Luo et al., 2025). Standardized evaluation frameworks improve the ability to compare models and support evidence-based decision making.</w:t>
      </w:r>
    </w:p>
    <w:p w14:paraId="7B864088" w14:textId="5A4F5A13" w:rsidR="00007AD3"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 xml:space="preserve">Implementation of standardized analytical design also improves clinical trust in predictive models. Clinicians are more likely to adopt models that demonstrate consistent performance and clear evaluation methods. Transparency in model development and evaluation allows healthcare professionals to understand how predictions are generated and how they should be used in practice. </w:t>
      </w:r>
      <w:r w:rsidR="00886E9F">
        <w:rPr>
          <w:rFonts w:ascii="Times New Roman" w:hAnsi="Times New Roman" w:cs="Times New Roman"/>
        </w:rPr>
        <w:t>T</w:t>
      </w:r>
      <w:r w:rsidR="00886E9F" w:rsidRPr="001167BB">
        <w:rPr>
          <w:rFonts w:ascii="Times New Roman" w:hAnsi="Times New Roman" w:cs="Times New Roman"/>
        </w:rPr>
        <w:t>herefore</w:t>
      </w:r>
      <w:r w:rsidR="00886E9F">
        <w:rPr>
          <w:rFonts w:ascii="Times New Roman" w:hAnsi="Times New Roman" w:cs="Times New Roman"/>
        </w:rPr>
        <w:t>,</w:t>
      </w:r>
      <w:r w:rsidR="00886E9F" w:rsidRPr="001167BB">
        <w:rPr>
          <w:rFonts w:ascii="Times New Roman" w:hAnsi="Times New Roman" w:cs="Times New Roman"/>
        </w:rPr>
        <w:t xml:space="preserve"> </w:t>
      </w:r>
      <w:r w:rsidR="00886E9F">
        <w:rPr>
          <w:rFonts w:ascii="Times New Roman" w:hAnsi="Times New Roman" w:cs="Times New Roman"/>
        </w:rPr>
        <w:t>c</w:t>
      </w:r>
      <w:r w:rsidRPr="001167BB">
        <w:rPr>
          <w:rFonts w:ascii="Times New Roman" w:hAnsi="Times New Roman" w:cs="Times New Roman"/>
        </w:rPr>
        <w:t>onsistency supports both technical reliability and practical adoption of machine learning models in healthcare systems.</w:t>
      </w:r>
    </w:p>
    <w:p w14:paraId="5E3920B8" w14:textId="7E33EFD6" w:rsidR="00F93309" w:rsidRPr="001167BB" w:rsidRDefault="00007AD3" w:rsidP="0058102B">
      <w:pPr>
        <w:spacing w:line="480" w:lineRule="auto"/>
        <w:ind w:firstLine="720"/>
        <w:jc w:val="center"/>
        <w:rPr>
          <w:rFonts w:ascii="Times New Roman" w:hAnsi="Times New Roman" w:cs="Times New Roman"/>
          <w:b/>
          <w:bCs/>
        </w:rPr>
      </w:pPr>
      <w:r w:rsidRPr="001167BB">
        <w:rPr>
          <w:rFonts w:ascii="Times New Roman" w:hAnsi="Times New Roman" w:cs="Times New Roman"/>
          <w:b/>
          <w:bCs/>
        </w:rPr>
        <w:lastRenderedPageBreak/>
        <w:t>Conclusion</w:t>
      </w:r>
    </w:p>
    <w:p w14:paraId="40C0988B"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Variation in analytical design remains a major challenge in heart disease prediction research. Differences in outcome definition, dataset characteristics, preprocessing strategies, and evaluation methods limit comparability across studies and reduce confidence in reported results. Inconsistent design makes it difficult to determine which models are reliable and suitable for clinical use.</w:t>
      </w:r>
    </w:p>
    <w:p w14:paraId="37A8F300"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Model reliability depends on the integration of multiple analytical factors rather than algorithm selection alone. Alignment between outcome definition, data selection, preprocessing, and evaluation supports more consistent and accurate predictions (Xu et al., 2025; Sabouri et al., 2023). Lack of alignment may lead to inconsistent results and limited applicability in real world settings.</w:t>
      </w:r>
    </w:p>
    <w:p w14:paraId="677F0D0E" w14:textId="77777777" w:rsidR="00007AD3" w:rsidRPr="001167BB" w:rsidRDefault="00007AD3" w:rsidP="00007AD3">
      <w:pPr>
        <w:spacing w:line="480" w:lineRule="auto"/>
        <w:ind w:firstLine="720"/>
        <w:rPr>
          <w:rFonts w:ascii="Times New Roman" w:hAnsi="Times New Roman" w:cs="Times New Roman"/>
        </w:rPr>
      </w:pPr>
      <w:r w:rsidRPr="001167BB">
        <w:rPr>
          <w:rFonts w:ascii="Times New Roman" w:hAnsi="Times New Roman" w:cs="Times New Roman"/>
        </w:rPr>
        <w:t>Greater focus on analytical design improves the development and implementation of machine learning models in healthcare. Consistency, transparency, and interpretability are essential for ensuring that predictive models can support clinical decision making. Improved analytical frameworks will enhance reliability and usefulness of machine learning in heart disease prediction and support better healthcare outcomes.</w:t>
      </w:r>
    </w:p>
    <w:p w14:paraId="1024CBEC" w14:textId="77777777" w:rsidR="00007AD3" w:rsidRPr="001167BB" w:rsidRDefault="00007AD3" w:rsidP="00007AD3">
      <w:pPr>
        <w:spacing w:line="480" w:lineRule="auto"/>
      </w:pPr>
    </w:p>
    <w:p w14:paraId="6D0DAFCE" w14:textId="1E3D4E59" w:rsidR="00D93AC6" w:rsidRPr="00D93AC6" w:rsidRDefault="00D93AC6" w:rsidP="00D93AC6">
      <w:pPr>
        <w:spacing w:line="480" w:lineRule="auto"/>
        <w:ind w:firstLine="720"/>
        <w:rPr>
          <w:rFonts w:ascii="Times New Roman" w:hAnsi="Times New Roman" w:cs="Times New Roman"/>
        </w:rPr>
      </w:pPr>
    </w:p>
    <w:p w14:paraId="7C2C2737" w14:textId="176A9800" w:rsidR="00556E56" w:rsidRPr="00913CA1" w:rsidRDefault="00556E56" w:rsidP="00886E9F">
      <w:pPr>
        <w:spacing w:line="480" w:lineRule="auto"/>
        <w:ind w:left="720"/>
        <w:rPr>
          <w:rFonts w:ascii="Times New Roman" w:hAnsi="Times New Roman" w:cs="Times New Roman"/>
        </w:rPr>
      </w:pPr>
      <w:r w:rsidRPr="00913CA1">
        <w:rPr>
          <w:rFonts w:ascii="Times New Roman" w:hAnsi="Times New Roman" w:cs="Times New Roman"/>
        </w:rPr>
        <w:br w:type="page"/>
      </w:r>
    </w:p>
    <w:p w14:paraId="3C2C5150" w14:textId="69FBFC4D" w:rsidR="0014384E" w:rsidRPr="00913CA1" w:rsidRDefault="00556E56" w:rsidP="009D1D6C">
      <w:pPr>
        <w:spacing w:line="480" w:lineRule="auto"/>
        <w:ind w:firstLine="720"/>
        <w:jc w:val="center"/>
        <w:rPr>
          <w:rFonts w:ascii="Times New Roman" w:hAnsi="Times New Roman" w:cs="Times New Roman"/>
          <w:lang w:val="es-ES"/>
        </w:rPr>
      </w:pPr>
      <w:proofErr w:type="spellStart"/>
      <w:r w:rsidRPr="00913CA1">
        <w:rPr>
          <w:rFonts w:ascii="Times New Roman" w:hAnsi="Times New Roman" w:cs="Times New Roman"/>
          <w:lang w:val="es-ES"/>
        </w:rPr>
        <w:lastRenderedPageBreak/>
        <w:t>References</w:t>
      </w:r>
      <w:proofErr w:type="spellEnd"/>
    </w:p>
    <w:p w14:paraId="44E957CD" w14:textId="01ABC61C" w:rsidR="0014384E" w:rsidRPr="00913CA1" w:rsidRDefault="0014384E" w:rsidP="00913CA1">
      <w:pPr>
        <w:spacing w:line="480" w:lineRule="auto"/>
        <w:ind w:left="720" w:hanging="720"/>
        <w:rPr>
          <w:rFonts w:ascii="Times New Roman" w:hAnsi="Times New Roman" w:cs="Times New Roman"/>
        </w:rPr>
      </w:pPr>
      <w:r w:rsidRPr="00913CA1">
        <w:rPr>
          <w:rFonts w:ascii="Times New Roman" w:hAnsi="Times New Roman" w:cs="Times New Roman"/>
          <w:lang w:val="es-ES"/>
        </w:rPr>
        <w:t xml:space="preserve">Fei, S., Liu, Q., &amp; </w:t>
      </w:r>
      <w:proofErr w:type="spellStart"/>
      <w:r w:rsidRPr="00913CA1">
        <w:rPr>
          <w:rFonts w:ascii="Times New Roman" w:hAnsi="Times New Roman" w:cs="Times New Roman"/>
          <w:lang w:val="es-ES"/>
        </w:rPr>
        <w:t>Yu</w:t>
      </w:r>
      <w:proofErr w:type="spellEnd"/>
      <w:r w:rsidRPr="00913CA1">
        <w:rPr>
          <w:rFonts w:ascii="Times New Roman" w:hAnsi="Times New Roman" w:cs="Times New Roman"/>
          <w:lang w:val="es-ES"/>
        </w:rPr>
        <w:t xml:space="preserve">, J. (2025). </w:t>
      </w:r>
      <w:r w:rsidRPr="00913CA1">
        <w:rPr>
          <w:rFonts w:ascii="Times New Roman" w:hAnsi="Times New Roman" w:cs="Times New Roman"/>
        </w:rPr>
        <w:t xml:space="preserve">A prediction study on the occurrence risk of heart disease in older hypertensive patients based on machine learning. </w:t>
      </w:r>
      <w:r w:rsidRPr="00913CA1">
        <w:rPr>
          <w:rFonts w:ascii="Times New Roman" w:hAnsi="Times New Roman" w:cs="Times New Roman"/>
          <w:i/>
          <w:iCs/>
        </w:rPr>
        <w:t>BMC Geriatrics, 25</w:t>
      </w:r>
      <w:r w:rsidRPr="00913CA1">
        <w:rPr>
          <w:rFonts w:ascii="Times New Roman" w:hAnsi="Times New Roman" w:cs="Times New Roman"/>
        </w:rPr>
        <w:t xml:space="preserve">, 27. </w:t>
      </w:r>
      <w:hyperlink r:id="rId9" w:tgtFrame="_new" w:history="1">
        <w:r w:rsidRPr="00913CA1">
          <w:rPr>
            <w:rStyle w:val="Hyperlink"/>
            <w:rFonts w:ascii="Times New Roman" w:hAnsi="Times New Roman" w:cs="Times New Roman"/>
          </w:rPr>
          <w:t>https://doi.org/10.1186/s12877-025-05679-1</w:t>
        </w:r>
      </w:hyperlink>
    </w:p>
    <w:p w14:paraId="3190C166" w14:textId="242F320D" w:rsidR="0014384E" w:rsidRPr="00913CA1" w:rsidRDefault="0014384E" w:rsidP="00913CA1">
      <w:pPr>
        <w:spacing w:line="480" w:lineRule="auto"/>
        <w:ind w:left="720" w:hanging="720"/>
        <w:rPr>
          <w:rFonts w:ascii="Times New Roman" w:hAnsi="Times New Roman" w:cs="Times New Roman"/>
        </w:rPr>
      </w:pPr>
      <w:r w:rsidRPr="00913CA1">
        <w:rPr>
          <w:rFonts w:ascii="Times New Roman" w:hAnsi="Times New Roman" w:cs="Times New Roman"/>
        </w:rPr>
        <w:t xml:space="preserve">Htoo, P. T., Paik, J. M., Everett, B. M., Glynn, R. J., Bykov, K., Hahn, G., Liu, J., Wexler, D. J., &amp; </w:t>
      </w:r>
      <w:proofErr w:type="spellStart"/>
      <w:r w:rsidRPr="00913CA1">
        <w:rPr>
          <w:rFonts w:ascii="Times New Roman" w:hAnsi="Times New Roman" w:cs="Times New Roman"/>
        </w:rPr>
        <w:t>Patorno</w:t>
      </w:r>
      <w:proofErr w:type="spellEnd"/>
      <w:r w:rsidRPr="00913CA1">
        <w:rPr>
          <w:rFonts w:ascii="Times New Roman" w:hAnsi="Times New Roman" w:cs="Times New Roman"/>
        </w:rPr>
        <w:t xml:space="preserve">, E. (2025). Machine learning for predicting cardiovascular events in older adults with type 2 diabetes using Medicare claims and electronic health records. </w:t>
      </w:r>
      <w:r w:rsidRPr="00913CA1">
        <w:rPr>
          <w:rFonts w:ascii="Times New Roman" w:hAnsi="Times New Roman" w:cs="Times New Roman"/>
          <w:i/>
          <w:iCs/>
        </w:rPr>
        <w:t>Journal of Clinical Epidemiology, 188</w:t>
      </w:r>
      <w:r w:rsidRPr="00913CA1">
        <w:rPr>
          <w:rFonts w:ascii="Times New Roman" w:hAnsi="Times New Roman" w:cs="Times New Roman"/>
        </w:rPr>
        <w:t xml:space="preserve">, 112001. </w:t>
      </w:r>
      <w:hyperlink r:id="rId10" w:history="1">
        <w:r w:rsidRPr="00913CA1">
          <w:rPr>
            <w:rStyle w:val="Hyperlink"/>
            <w:rFonts w:ascii="Times New Roman" w:hAnsi="Times New Roman" w:cs="Times New Roman"/>
          </w:rPr>
          <w:t>https://doi.org/10.1016/j.jclinepi.2025.112001</w:t>
        </w:r>
      </w:hyperlink>
      <w:r w:rsidRPr="00913CA1">
        <w:rPr>
          <w:rFonts w:ascii="Times New Roman" w:hAnsi="Times New Roman" w:cs="Times New Roman"/>
        </w:rPr>
        <w:t xml:space="preserve"> </w:t>
      </w:r>
    </w:p>
    <w:p w14:paraId="78E053E5" w14:textId="28E6CD61" w:rsidR="00947B26" w:rsidRPr="00913CA1" w:rsidRDefault="00947B26" w:rsidP="00913CA1">
      <w:pPr>
        <w:spacing w:line="480" w:lineRule="auto"/>
        <w:ind w:left="720" w:hanging="720"/>
        <w:rPr>
          <w:rFonts w:ascii="Times New Roman" w:hAnsi="Times New Roman" w:cs="Times New Roman"/>
        </w:rPr>
      </w:pPr>
      <w:r w:rsidRPr="00913CA1">
        <w:rPr>
          <w:rFonts w:ascii="Times New Roman" w:hAnsi="Times New Roman" w:cs="Times New Roman"/>
        </w:rPr>
        <w:t xml:space="preserve">Luo, C., Du, J., &amp; Zhang, C. (2025). Remnant Cholesterol Inflammatory Index for Predicting Heart Failure Risk in Patients with Coronary Artery Disease and Type 2 Diabetes: A Retrospective Study Using Multiple Machine Learning Approaches. </w:t>
      </w:r>
      <w:r w:rsidRPr="00913CA1">
        <w:rPr>
          <w:rFonts w:ascii="Times New Roman" w:hAnsi="Times New Roman" w:cs="Times New Roman"/>
          <w:i/>
          <w:iCs/>
        </w:rPr>
        <w:t>Risk Management &amp; Healthcare Policy</w:t>
      </w:r>
      <w:r w:rsidRPr="00913CA1">
        <w:rPr>
          <w:rFonts w:ascii="Times New Roman" w:hAnsi="Times New Roman" w:cs="Times New Roman"/>
        </w:rPr>
        <w:t xml:space="preserve">, </w:t>
      </w:r>
      <w:r w:rsidRPr="00913CA1">
        <w:rPr>
          <w:rFonts w:ascii="Times New Roman" w:hAnsi="Times New Roman" w:cs="Times New Roman"/>
          <w:i/>
          <w:iCs/>
        </w:rPr>
        <w:t>18</w:t>
      </w:r>
      <w:r w:rsidRPr="00913CA1">
        <w:rPr>
          <w:rFonts w:ascii="Times New Roman" w:hAnsi="Times New Roman" w:cs="Times New Roman"/>
        </w:rPr>
        <w:t xml:space="preserve">, 4027–4036. </w:t>
      </w:r>
      <w:hyperlink r:id="rId11" w:history="1">
        <w:r w:rsidR="00EC39EC" w:rsidRPr="00123639">
          <w:rPr>
            <w:rStyle w:val="Hyperlink"/>
            <w:rFonts w:ascii="Times New Roman" w:hAnsi="Times New Roman" w:cs="Times New Roman"/>
          </w:rPr>
          <w:t>https://doi.org/10.2147/RMHP.S566696</w:t>
        </w:r>
      </w:hyperlink>
      <w:r w:rsidRPr="00913CA1">
        <w:rPr>
          <w:rFonts w:ascii="Times New Roman" w:hAnsi="Times New Roman" w:cs="Times New Roman"/>
        </w:rPr>
        <w:t xml:space="preserve"> </w:t>
      </w:r>
    </w:p>
    <w:p w14:paraId="76CE8531" w14:textId="4EB2B9FD" w:rsidR="0014384E" w:rsidRPr="00913CA1" w:rsidRDefault="0014384E" w:rsidP="00913CA1">
      <w:pPr>
        <w:spacing w:line="480" w:lineRule="auto"/>
        <w:ind w:left="720" w:hanging="720"/>
        <w:rPr>
          <w:rFonts w:ascii="Times New Roman" w:hAnsi="Times New Roman" w:cs="Times New Roman"/>
        </w:rPr>
      </w:pPr>
      <w:r w:rsidRPr="00913CA1">
        <w:rPr>
          <w:rFonts w:ascii="Times New Roman" w:hAnsi="Times New Roman" w:cs="Times New Roman"/>
        </w:rPr>
        <w:t xml:space="preserve">Öztekin, A., &amp; </w:t>
      </w:r>
      <w:proofErr w:type="spellStart"/>
      <w:r w:rsidRPr="00913CA1">
        <w:rPr>
          <w:rFonts w:ascii="Times New Roman" w:hAnsi="Times New Roman" w:cs="Times New Roman"/>
        </w:rPr>
        <w:t>Özyılmaz</w:t>
      </w:r>
      <w:proofErr w:type="spellEnd"/>
      <w:r w:rsidRPr="00913CA1">
        <w:rPr>
          <w:rFonts w:ascii="Times New Roman" w:hAnsi="Times New Roman" w:cs="Times New Roman"/>
        </w:rPr>
        <w:t xml:space="preserve">, B. (2025). A machine learning based death risk analysis and prediction of ST-segment elevation myocardial infarction (STEMI) patients. </w:t>
      </w:r>
      <w:r w:rsidRPr="00913CA1">
        <w:rPr>
          <w:rFonts w:ascii="Times New Roman" w:hAnsi="Times New Roman" w:cs="Times New Roman"/>
          <w:i/>
          <w:iCs/>
        </w:rPr>
        <w:t>Computers in Biology and Medicine</w:t>
      </w:r>
      <w:r w:rsidRPr="00913CA1">
        <w:rPr>
          <w:rFonts w:ascii="Times New Roman" w:hAnsi="Times New Roman" w:cs="Times New Roman"/>
        </w:rPr>
        <w:t xml:space="preserve">, </w:t>
      </w:r>
      <w:r w:rsidRPr="00913CA1">
        <w:rPr>
          <w:rFonts w:ascii="Times New Roman" w:hAnsi="Times New Roman" w:cs="Times New Roman"/>
          <w:i/>
          <w:iCs/>
        </w:rPr>
        <w:t>188</w:t>
      </w:r>
      <w:r w:rsidRPr="00913CA1">
        <w:rPr>
          <w:rFonts w:ascii="Times New Roman" w:hAnsi="Times New Roman" w:cs="Times New Roman"/>
        </w:rPr>
        <w:t xml:space="preserve">, 109839. </w:t>
      </w:r>
      <w:hyperlink r:id="rId12" w:history="1">
        <w:r w:rsidRPr="00913CA1">
          <w:rPr>
            <w:rStyle w:val="Hyperlink"/>
            <w:rFonts w:ascii="Times New Roman" w:hAnsi="Times New Roman" w:cs="Times New Roman"/>
          </w:rPr>
          <w:t>https://doi.org/10.1016/j.compbiomed.2025.109839</w:t>
        </w:r>
      </w:hyperlink>
      <w:r w:rsidRPr="00913CA1">
        <w:rPr>
          <w:rFonts w:ascii="Times New Roman" w:hAnsi="Times New Roman" w:cs="Times New Roman"/>
        </w:rPr>
        <w:t xml:space="preserve"> </w:t>
      </w:r>
    </w:p>
    <w:p w14:paraId="3303DED3" w14:textId="4BE2BD27" w:rsidR="00D22F86" w:rsidRPr="00913CA1" w:rsidRDefault="0014384E" w:rsidP="00913CA1">
      <w:pPr>
        <w:spacing w:line="480" w:lineRule="auto"/>
        <w:ind w:left="720" w:hanging="720"/>
        <w:rPr>
          <w:rFonts w:ascii="Times New Roman" w:hAnsi="Times New Roman" w:cs="Times New Roman"/>
          <w:lang w:val="fr-FR"/>
        </w:rPr>
      </w:pPr>
      <w:r w:rsidRPr="00913CA1">
        <w:rPr>
          <w:rFonts w:ascii="Times New Roman" w:hAnsi="Times New Roman" w:cs="Times New Roman"/>
        </w:rPr>
        <w:t xml:space="preserve">Sabouri, M., Rajabi, A. B., </w:t>
      </w:r>
      <w:proofErr w:type="spellStart"/>
      <w:r w:rsidRPr="00913CA1">
        <w:rPr>
          <w:rFonts w:ascii="Times New Roman" w:hAnsi="Times New Roman" w:cs="Times New Roman"/>
        </w:rPr>
        <w:t>Hajianfar</w:t>
      </w:r>
      <w:proofErr w:type="spellEnd"/>
      <w:r w:rsidRPr="00913CA1">
        <w:rPr>
          <w:rFonts w:ascii="Times New Roman" w:hAnsi="Times New Roman" w:cs="Times New Roman"/>
        </w:rPr>
        <w:t xml:space="preserve">, G., Gharibi, O., Mohebi, M., Avval, A. H., Naderi, N., &amp; Shiri, I. (2023). Machine learning based readmission and mortality prediction in heart failure patients. </w:t>
      </w:r>
      <w:r w:rsidRPr="00913CA1">
        <w:rPr>
          <w:rFonts w:ascii="Times New Roman" w:hAnsi="Times New Roman" w:cs="Times New Roman"/>
          <w:i/>
          <w:iCs/>
          <w:lang w:val="fr-FR"/>
        </w:rPr>
        <w:t>Scientific Reports</w:t>
      </w:r>
      <w:r w:rsidRPr="00913CA1">
        <w:rPr>
          <w:rFonts w:ascii="Times New Roman" w:hAnsi="Times New Roman" w:cs="Times New Roman"/>
          <w:lang w:val="fr-FR"/>
        </w:rPr>
        <w:t xml:space="preserve">, </w:t>
      </w:r>
      <w:r w:rsidRPr="00913CA1">
        <w:rPr>
          <w:rFonts w:ascii="Times New Roman" w:hAnsi="Times New Roman" w:cs="Times New Roman"/>
          <w:i/>
          <w:iCs/>
          <w:lang w:val="fr-FR"/>
        </w:rPr>
        <w:t>13</w:t>
      </w:r>
      <w:r w:rsidRPr="00913CA1">
        <w:rPr>
          <w:rFonts w:ascii="Times New Roman" w:hAnsi="Times New Roman" w:cs="Times New Roman"/>
          <w:lang w:val="fr-FR"/>
        </w:rPr>
        <w:t xml:space="preserve">(1), 1–13. </w:t>
      </w:r>
      <w:hyperlink r:id="rId13" w:history="1">
        <w:r w:rsidRPr="00913CA1">
          <w:rPr>
            <w:rStyle w:val="Hyperlink"/>
            <w:rFonts w:ascii="Times New Roman" w:hAnsi="Times New Roman" w:cs="Times New Roman"/>
            <w:lang w:val="fr-FR"/>
          </w:rPr>
          <w:t>https://doi.org/10.1038/s41598-023-45925-3</w:t>
        </w:r>
      </w:hyperlink>
      <w:r w:rsidRPr="00913CA1">
        <w:rPr>
          <w:rFonts w:ascii="Times New Roman" w:hAnsi="Times New Roman" w:cs="Times New Roman"/>
          <w:lang w:val="fr-FR"/>
        </w:rPr>
        <w:t xml:space="preserve"> </w:t>
      </w:r>
    </w:p>
    <w:p w14:paraId="547F69B2" w14:textId="77777777" w:rsidR="00D22F86" w:rsidRPr="00913CA1" w:rsidRDefault="00D22F86" w:rsidP="00913CA1">
      <w:pPr>
        <w:spacing w:line="480" w:lineRule="auto"/>
        <w:rPr>
          <w:rFonts w:ascii="Times New Roman" w:hAnsi="Times New Roman" w:cs="Times New Roman"/>
          <w:lang w:val="fr-FR"/>
        </w:rPr>
      </w:pPr>
      <w:r w:rsidRPr="00913CA1">
        <w:rPr>
          <w:rFonts w:ascii="Times New Roman" w:hAnsi="Times New Roman" w:cs="Times New Roman"/>
          <w:lang w:val="fr-FR"/>
        </w:rPr>
        <w:br w:type="page"/>
      </w:r>
    </w:p>
    <w:p w14:paraId="11071654" w14:textId="1303D166" w:rsidR="00B332B7" w:rsidRPr="00913CA1" w:rsidRDefault="00F16830" w:rsidP="00913CA1">
      <w:pPr>
        <w:spacing w:line="480" w:lineRule="auto"/>
        <w:ind w:left="720" w:hanging="720"/>
        <w:rPr>
          <w:rFonts w:ascii="Times New Roman" w:hAnsi="Times New Roman" w:cs="Times New Roman"/>
        </w:rPr>
      </w:pPr>
      <w:r w:rsidRPr="00913CA1">
        <w:rPr>
          <w:rFonts w:ascii="Times New Roman" w:hAnsi="Times New Roman" w:cs="Times New Roman"/>
          <w:lang w:val="fr-FR"/>
        </w:rPr>
        <w:lastRenderedPageBreak/>
        <w:t xml:space="preserve">Xu, Q., Yu, R., Cai, X., Chen, G., Zheng, Y., Xu, C., &amp; Sun, J. (2025). </w:t>
      </w:r>
      <w:r w:rsidRPr="00913CA1">
        <w:rPr>
          <w:rFonts w:ascii="Times New Roman" w:hAnsi="Times New Roman" w:cs="Times New Roman"/>
        </w:rPr>
        <w:t>Machine learning-based risk factor analysis and prediction model construction for mortality in chronic heart failure. Journal of Global Health, 15, 04242</w:t>
      </w:r>
      <w:r w:rsidR="00064A5F" w:rsidRPr="00913CA1">
        <w:rPr>
          <w:rFonts w:ascii="Times New Roman" w:hAnsi="Times New Roman" w:cs="Times New Roman"/>
        </w:rPr>
        <w:t>.</w:t>
      </w:r>
      <w:r w:rsidR="00ED4310" w:rsidRPr="00913CA1">
        <w:rPr>
          <w:rFonts w:ascii="Times New Roman" w:hAnsi="Times New Roman" w:cs="Times New Roman"/>
        </w:rPr>
        <w:t xml:space="preserve"> </w:t>
      </w:r>
      <w:hyperlink r:id="rId14" w:history="1">
        <w:r w:rsidR="00EC39EC" w:rsidRPr="00123639">
          <w:rPr>
            <w:rStyle w:val="Hyperlink"/>
            <w:rFonts w:ascii="Times New Roman" w:hAnsi="Times New Roman" w:cs="Times New Roman"/>
          </w:rPr>
          <w:t>https://doi.org/10.7189/jogh.15.04242</w:t>
        </w:r>
      </w:hyperlink>
      <w:r w:rsidR="00ED4310" w:rsidRPr="00913CA1">
        <w:rPr>
          <w:rStyle w:val="Hyperlink"/>
          <w:rFonts w:ascii="Times New Roman" w:hAnsi="Times New Roman" w:cs="Times New Roman"/>
        </w:rPr>
        <w:t xml:space="preserve"> </w:t>
      </w:r>
    </w:p>
    <w:sectPr w:rsidR="00B332B7" w:rsidRPr="00913CA1" w:rsidSect="007123E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F047" w14:textId="77777777" w:rsidR="002C547D" w:rsidRDefault="002C547D" w:rsidP="003F63E8">
      <w:pPr>
        <w:spacing w:after="0" w:line="240" w:lineRule="auto"/>
      </w:pPr>
      <w:r>
        <w:separator/>
      </w:r>
    </w:p>
  </w:endnote>
  <w:endnote w:type="continuationSeparator" w:id="0">
    <w:p w14:paraId="0E93A7E6" w14:textId="77777777" w:rsidR="002C547D" w:rsidRDefault="002C547D" w:rsidP="003F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E44B" w14:textId="77777777" w:rsidR="002C547D" w:rsidRDefault="002C547D" w:rsidP="003F63E8">
      <w:pPr>
        <w:spacing w:after="0" w:line="240" w:lineRule="auto"/>
      </w:pPr>
      <w:r>
        <w:separator/>
      </w:r>
    </w:p>
  </w:footnote>
  <w:footnote w:type="continuationSeparator" w:id="0">
    <w:p w14:paraId="7AE0FD5E" w14:textId="77777777" w:rsidR="002C547D" w:rsidRDefault="002C547D" w:rsidP="003F6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95994590"/>
      <w:docPartObj>
        <w:docPartGallery w:val="Page Numbers (Top of Page)"/>
        <w:docPartUnique/>
      </w:docPartObj>
    </w:sdtPr>
    <w:sdtEndPr>
      <w:rPr>
        <w:noProof/>
      </w:rPr>
    </w:sdtEndPr>
    <w:sdtContent>
      <w:p w14:paraId="07D5F910" w14:textId="14B4F7D5" w:rsidR="003F63E8" w:rsidRPr="00D67CA5" w:rsidRDefault="003F63E8">
        <w:pPr>
          <w:pStyle w:val="Header"/>
          <w:jc w:val="right"/>
          <w:rPr>
            <w:rFonts w:ascii="Times New Roman" w:hAnsi="Times New Roman" w:cs="Times New Roman"/>
          </w:rPr>
        </w:pPr>
        <w:r w:rsidRPr="00D67CA5">
          <w:rPr>
            <w:rFonts w:ascii="Times New Roman" w:hAnsi="Times New Roman" w:cs="Times New Roman"/>
          </w:rPr>
          <w:fldChar w:fldCharType="begin"/>
        </w:r>
        <w:r w:rsidRPr="00D67CA5">
          <w:rPr>
            <w:rFonts w:ascii="Times New Roman" w:hAnsi="Times New Roman" w:cs="Times New Roman"/>
          </w:rPr>
          <w:instrText xml:space="preserve"> PAGE   \* MERGEFORMAT </w:instrText>
        </w:r>
        <w:r w:rsidRPr="00D67CA5">
          <w:rPr>
            <w:rFonts w:ascii="Times New Roman" w:hAnsi="Times New Roman" w:cs="Times New Roman"/>
          </w:rPr>
          <w:fldChar w:fldCharType="separate"/>
        </w:r>
        <w:r w:rsidRPr="00D67CA5">
          <w:rPr>
            <w:rFonts w:ascii="Times New Roman" w:hAnsi="Times New Roman" w:cs="Times New Roman"/>
            <w:noProof/>
          </w:rPr>
          <w:t>2</w:t>
        </w:r>
        <w:r w:rsidRPr="00D67CA5">
          <w:rPr>
            <w:rFonts w:ascii="Times New Roman" w:hAnsi="Times New Roman" w:cs="Times New Roman"/>
            <w:noProof/>
          </w:rPr>
          <w:fldChar w:fldCharType="end"/>
        </w:r>
      </w:p>
    </w:sdtContent>
  </w:sdt>
  <w:p w14:paraId="707C0F60" w14:textId="77777777" w:rsidR="003F63E8" w:rsidRDefault="003F6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A50"/>
    <w:multiLevelType w:val="hybridMultilevel"/>
    <w:tmpl w:val="53F427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51ECE"/>
    <w:multiLevelType w:val="hybridMultilevel"/>
    <w:tmpl w:val="524EF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919D9"/>
    <w:multiLevelType w:val="multilevel"/>
    <w:tmpl w:val="7B7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B3B4B"/>
    <w:multiLevelType w:val="hybridMultilevel"/>
    <w:tmpl w:val="4A4235EA"/>
    <w:lvl w:ilvl="0" w:tplc="D3A639B2">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838883">
    <w:abstractNumId w:val="1"/>
  </w:num>
  <w:num w:numId="2" w16cid:durableId="2133667272">
    <w:abstractNumId w:val="0"/>
  </w:num>
  <w:num w:numId="3" w16cid:durableId="521165565">
    <w:abstractNumId w:val="2"/>
  </w:num>
  <w:num w:numId="4" w16cid:durableId="2022078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15"/>
    <w:rsid w:val="00007AD3"/>
    <w:rsid w:val="0001083A"/>
    <w:rsid w:val="00034DCD"/>
    <w:rsid w:val="00037849"/>
    <w:rsid w:val="00037C10"/>
    <w:rsid w:val="00037D17"/>
    <w:rsid w:val="0005497E"/>
    <w:rsid w:val="00064A5F"/>
    <w:rsid w:val="00091FE6"/>
    <w:rsid w:val="00097E00"/>
    <w:rsid w:val="000B5BB2"/>
    <w:rsid w:val="000D2C77"/>
    <w:rsid w:val="000F29D1"/>
    <w:rsid w:val="000F4B34"/>
    <w:rsid w:val="00104B1E"/>
    <w:rsid w:val="00106B07"/>
    <w:rsid w:val="00113E8D"/>
    <w:rsid w:val="00125442"/>
    <w:rsid w:val="0014384E"/>
    <w:rsid w:val="00144DE7"/>
    <w:rsid w:val="00145ABF"/>
    <w:rsid w:val="0015168D"/>
    <w:rsid w:val="001A3CF0"/>
    <w:rsid w:val="001B1282"/>
    <w:rsid w:val="001B131E"/>
    <w:rsid w:val="001C1AD5"/>
    <w:rsid w:val="001D3B2D"/>
    <w:rsid w:val="001D516F"/>
    <w:rsid w:val="001F6749"/>
    <w:rsid w:val="0020496E"/>
    <w:rsid w:val="002315C1"/>
    <w:rsid w:val="00242FF2"/>
    <w:rsid w:val="00246B28"/>
    <w:rsid w:val="00267194"/>
    <w:rsid w:val="0028554D"/>
    <w:rsid w:val="002A03A8"/>
    <w:rsid w:val="002C0533"/>
    <w:rsid w:val="002C11DF"/>
    <w:rsid w:val="002C547D"/>
    <w:rsid w:val="002D1563"/>
    <w:rsid w:val="002D3469"/>
    <w:rsid w:val="002E29F0"/>
    <w:rsid w:val="002F1926"/>
    <w:rsid w:val="003377FC"/>
    <w:rsid w:val="003415CA"/>
    <w:rsid w:val="003441B9"/>
    <w:rsid w:val="00373B15"/>
    <w:rsid w:val="00396FAF"/>
    <w:rsid w:val="003B57E2"/>
    <w:rsid w:val="003C08D1"/>
    <w:rsid w:val="003C457E"/>
    <w:rsid w:val="003C58C9"/>
    <w:rsid w:val="003D44C0"/>
    <w:rsid w:val="003F3C1A"/>
    <w:rsid w:val="003F63E8"/>
    <w:rsid w:val="004268C8"/>
    <w:rsid w:val="004367DA"/>
    <w:rsid w:val="0046402A"/>
    <w:rsid w:val="0047740F"/>
    <w:rsid w:val="0049160E"/>
    <w:rsid w:val="004948C2"/>
    <w:rsid w:val="004B7564"/>
    <w:rsid w:val="004C7E44"/>
    <w:rsid w:val="004E6AAC"/>
    <w:rsid w:val="00554A1C"/>
    <w:rsid w:val="00556E56"/>
    <w:rsid w:val="0058102B"/>
    <w:rsid w:val="00596240"/>
    <w:rsid w:val="005B185A"/>
    <w:rsid w:val="005C4492"/>
    <w:rsid w:val="00635273"/>
    <w:rsid w:val="006420E7"/>
    <w:rsid w:val="00651A3F"/>
    <w:rsid w:val="00665A41"/>
    <w:rsid w:val="00667557"/>
    <w:rsid w:val="00694D12"/>
    <w:rsid w:val="0069624D"/>
    <w:rsid w:val="006A3CAC"/>
    <w:rsid w:val="006B7F40"/>
    <w:rsid w:val="006D49C9"/>
    <w:rsid w:val="006E09E2"/>
    <w:rsid w:val="0070451D"/>
    <w:rsid w:val="00704C02"/>
    <w:rsid w:val="007123E8"/>
    <w:rsid w:val="00713F1B"/>
    <w:rsid w:val="007323AB"/>
    <w:rsid w:val="00756FFE"/>
    <w:rsid w:val="00757ED0"/>
    <w:rsid w:val="0076469D"/>
    <w:rsid w:val="007806F3"/>
    <w:rsid w:val="007D1582"/>
    <w:rsid w:val="007E3979"/>
    <w:rsid w:val="00843215"/>
    <w:rsid w:val="00846248"/>
    <w:rsid w:val="00886E9F"/>
    <w:rsid w:val="008A7EAB"/>
    <w:rsid w:val="008B384F"/>
    <w:rsid w:val="008C335F"/>
    <w:rsid w:val="008D0297"/>
    <w:rsid w:val="008F735D"/>
    <w:rsid w:val="009041C5"/>
    <w:rsid w:val="00913CA1"/>
    <w:rsid w:val="00915361"/>
    <w:rsid w:val="00924557"/>
    <w:rsid w:val="00932C4D"/>
    <w:rsid w:val="00947B26"/>
    <w:rsid w:val="009545EF"/>
    <w:rsid w:val="009B10FB"/>
    <w:rsid w:val="009D1D6C"/>
    <w:rsid w:val="009D266B"/>
    <w:rsid w:val="009E2586"/>
    <w:rsid w:val="009F0888"/>
    <w:rsid w:val="00A40268"/>
    <w:rsid w:val="00AA2063"/>
    <w:rsid w:val="00AA3D67"/>
    <w:rsid w:val="00AC2BDA"/>
    <w:rsid w:val="00AC4CC5"/>
    <w:rsid w:val="00AD3A4E"/>
    <w:rsid w:val="00B22761"/>
    <w:rsid w:val="00B332B7"/>
    <w:rsid w:val="00B74942"/>
    <w:rsid w:val="00BA4523"/>
    <w:rsid w:val="00BB46EA"/>
    <w:rsid w:val="00BF0783"/>
    <w:rsid w:val="00BF2309"/>
    <w:rsid w:val="00C06C6A"/>
    <w:rsid w:val="00C34DB2"/>
    <w:rsid w:val="00C42029"/>
    <w:rsid w:val="00C437EB"/>
    <w:rsid w:val="00C647C2"/>
    <w:rsid w:val="00CC4BC8"/>
    <w:rsid w:val="00CC5567"/>
    <w:rsid w:val="00CE1D89"/>
    <w:rsid w:val="00D22F86"/>
    <w:rsid w:val="00D67C7E"/>
    <w:rsid w:val="00D67CA5"/>
    <w:rsid w:val="00D878A8"/>
    <w:rsid w:val="00D93AC6"/>
    <w:rsid w:val="00DC2273"/>
    <w:rsid w:val="00DD6A65"/>
    <w:rsid w:val="00DE3E41"/>
    <w:rsid w:val="00E01F94"/>
    <w:rsid w:val="00E10E9C"/>
    <w:rsid w:val="00E519F0"/>
    <w:rsid w:val="00E55A67"/>
    <w:rsid w:val="00E62AAD"/>
    <w:rsid w:val="00E77DAF"/>
    <w:rsid w:val="00E9171B"/>
    <w:rsid w:val="00EC39EC"/>
    <w:rsid w:val="00ED303D"/>
    <w:rsid w:val="00ED4310"/>
    <w:rsid w:val="00ED71E1"/>
    <w:rsid w:val="00EE4EB4"/>
    <w:rsid w:val="00F01567"/>
    <w:rsid w:val="00F16830"/>
    <w:rsid w:val="00F232FD"/>
    <w:rsid w:val="00F23505"/>
    <w:rsid w:val="00F34C5A"/>
    <w:rsid w:val="00F4549D"/>
    <w:rsid w:val="00F93309"/>
    <w:rsid w:val="00F95C3A"/>
    <w:rsid w:val="00FA22EF"/>
    <w:rsid w:val="00FD0015"/>
    <w:rsid w:val="00FD3952"/>
    <w:rsid w:val="00FD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89117"/>
  <w15:chartTrackingRefBased/>
  <w15:docId w15:val="{0CE65B78-F558-4514-9EBD-5DE233BD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15"/>
    <w:rPr>
      <w:rFonts w:eastAsiaTheme="majorEastAsia" w:cstheme="majorBidi"/>
      <w:color w:val="272727" w:themeColor="text1" w:themeTint="D8"/>
    </w:rPr>
  </w:style>
  <w:style w:type="paragraph" w:styleId="Title">
    <w:name w:val="Title"/>
    <w:basedOn w:val="Normal"/>
    <w:next w:val="Normal"/>
    <w:link w:val="TitleChar"/>
    <w:uiPriority w:val="10"/>
    <w:qFormat/>
    <w:rsid w:val="0037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15"/>
    <w:pPr>
      <w:spacing w:before="160"/>
      <w:jc w:val="center"/>
    </w:pPr>
    <w:rPr>
      <w:i/>
      <w:iCs/>
      <w:color w:val="404040" w:themeColor="text1" w:themeTint="BF"/>
    </w:rPr>
  </w:style>
  <w:style w:type="character" w:customStyle="1" w:styleId="QuoteChar">
    <w:name w:val="Quote Char"/>
    <w:basedOn w:val="DefaultParagraphFont"/>
    <w:link w:val="Quote"/>
    <w:uiPriority w:val="29"/>
    <w:rsid w:val="00373B15"/>
    <w:rPr>
      <w:i/>
      <w:iCs/>
      <w:color w:val="404040" w:themeColor="text1" w:themeTint="BF"/>
    </w:rPr>
  </w:style>
  <w:style w:type="paragraph" w:styleId="ListParagraph">
    <w:name w:val="List Paragraph"/>
    <w:basedOn w:val="Normal"/>
    <w:uiPriority w:val="34"/>
    <w:qFormat/>
    <w:rsid w:val="00373B15"/>
    <w:pPr>
      <w:ind w:left="720"/>
      <w:contextualSpacing/>
    </w:pPr>
  </w:style>
  <w:style w:type="character" w:styleId="IntenseEmphasis">
    <w:name w:val="Intense Emphasis"/>
    <w:basedOn w:val="DefaultParagraphFont"/>
    <w:uiPriority w:val="21"/>
    <w:qFormat/>
    <w:rsid w:val="00373B15"/>
    <w:rPr>
      <w:i/>
      <w:iCs/>
      <w:color w:val="0F4761" w:themeColor="accent1" w:themeShade="BF"/>
    </w:rPr>
  </w:style>
  <w:style w:type="paragraph" w:styleId="IntenseQuote">
    <w:name w:val="Intense Quote"/>
    <w:basedOn w:val="Normal"/>
    <w:next w:val="Normal"/>
    <w:link w:val="IntenseQuoteChar"/>
    <w:uiPriority w:val="30"/>
    <w:qFormat/>
    <w:rsid w:val="0037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B15"/>
    <w:rPr>
      <w:i/>
      <w:iCs/>
      <w:color w:val="0F4761" w:themeColor="accent1" w:themeShade="BF"/>
    </w:rPr>
  </w:style>
  <w:style w:type="character" w:styleId="IntenseReference">
    <w:name w:val="Intense Reference"/>
    <w:basedOn w:val="DefaultParagraphFont"/>
    <w:uiPriority w:val="32"/>
    <w:qFormat/>
    <w:rsid w:val="00373B15"/>
    <w:rPr>
      <w:b/>
      <w:bCs/>
      <w:smallCaps/>
      <w:color w:val="0F4761" w:themeColor="accent1" w:themeShade="BF"/>
      <w:spacing w:val="5"/>
    </w:rPr>
  </w:style>
  <w:style w:type="paragraph" w:styleId="Header">
    <w:name w:val="header"/>
    <w:basedOn w:val="Normal"/>
    <w:link w:val="HeaderChar"/>
    <w:uiPriority w:val="99"/>
    <w:unhideWhenUsed/>
    <w:rsid w:val="003F6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3E8"/>
  </w:style>
  <w:style w:type="paragraph" w:styleId="Footer">
    <w:name w:val="footer"/>
    <w:basedOn w:val="Normal"/>
    <w:link w:val="FooterChar"/>
    <w:uiPriority w:val="99"/>
    <w:unhideWhenUsed/>
    <w:rsid w:val="003F6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3E8"/>
  </w:style>
  <w:style w:type="character" w:styleId="Hyperlink">
    <w:name w:val="Hyperlink"/>
    <w:basedOn w:val="DefaultParagraphFont"/>
    <w:uiPriority w:val="99"/>
    <w:unhideWhenUsed/>
    <w:rsid w:val="006D49C9"/>
    <w:rPr>
      <w:color w:val="467886" w:themeColor="hyperlink"/>
      <w:u w:val="single"/>
    </w:rPr>
  </w:style>
  <w:style w:type="character" w:styleId="UnresolvedMention">
    <w:name w:val="Unresolved Mention"/>
    <w:basedOn w:val="DefaultParagraphFont"/>
    <w:uiPriority w:val="99"/>
    <w:semiHidden/>
    <w:unhideWhenUsed/>
    <w:rsid w:val="006D49C9"/>
    <w:rPr>
      <w:color w:val="605E5C"/>
      <w:shd w:val="clear" w:color="auto" w:fill="E1DFDD"/>
    </w:rPr>
  </w:style>
  <w:style w:type="paragraph" w:styleId="NormalWeb">
    <w:name w:val="Normal (Web)"/>
    <w:basedOn w:val="Normal"/>
    <w:uiPriority w:val="99"/>
    <w:semiHidden/>
    <w:unhideWhenUsed/>
    <w:rsid w:val="002D15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15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38/s41598-023-4592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compbiomed.2025.10983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47/RMHP.S56669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jclinepi.2025.112001" TargetMode="External"/><Relationship Id="rId4" Type="http://schemas.openxmlformats.org/officeDocument/2006/relationships/settings" Target="settings.xml"/><Relationship Id="rId9" Type="http://schemas.openxmlformats.org/officeDocument/2006/relationships/hyperlink" Target="https://doi.org/10.1186/s12877-025-05679-1" TargetMode="External"/><Relationship Id="rId14" Type="http://schemas.openxmlformats.org/officeDocument/2006/relationships/hyperlink" Target="https://doi.org/10.7189/jogh.15.04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5CAC-1C16-4BD7-BD80-6BCFCE52C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13</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Thạch Nhan</dc:creator>
  <cp:keywords/>
  <dc:description/>
  <cp:lastModifiedBy>Ngọc Thạch Nhan</cp:lastModifiedBy>
  <cp:revision>86</cp:revision>
  <dcterms:created xsi:type="dcterms:W3CDTF">2026-02-02T05:28:00Z</dcterms:created>
  <dcterms:modified xsi:type="dcterms:W3CDTF">2026-04-26T02:47:00Z</dcterms:modified>
</cp:coreProperties>
</file>