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có cấu trúc điều kiện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Pseudo-code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Input diem_so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(diem_so &gt;= 75) then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Display ‘Loai A’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(diem_so &gt;= 60 and diem_so &lt; 75) then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Display ‘Loai B’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(diem_so &gt;= 45 and diem_so &lt; 60) then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Display ‘Loai C’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(diem_so &gt;= 35 and diem_so &lt; 45) then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Display ‘Loai D’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Display ‘Loai E’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FlowChart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62475" cy="721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