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b/>
          <w:bCs/>
          <w:color w:val="1F4E79"/>
          <w:sz w:val="32"/>
          <w:szCs w:val="32"/>
        </w:rPr>
        <w:t xml:space="preserve">CHƯƠNG 2: CƠ SỞ LÝ THUYẾT VÀ HIỆN TRẠNG</w:t>
      </w:r>
    </w:p>
    <w:p>
      <w:pPr>
        <w:spacing w:after="120" w:line="360"/>
        <w:ind w:firstLine="567"/>
        <w:jc w:val="both"/>
      </w:pPr>
      <w:r>
        <w:rPr>
          <w:sz w:val="26"/>
          <w:szCs w:val="26"/>
        </w:rPr>
        <w:t xml:space="preserve">Chương này trình bày cơ sở lý thuyết và công nghệ nền tảng làm căn cứ cho các quyết định kỹ thuật của đề tài, phân tích vai trò của cựu sinh viên và nhu cầu của các nhóm người dùng, khảo sát các hệ thống liên quan, và phân tích hiện trạng hệ thống AlumVerse phiên bản 2024. Trên cơ sở đó, chương xác định các khoảng trống cần giải quyết và đề xuất định hướng giải pháp cho phiên bản 2026.</w:t>
      </w:r>
    </w:p>
    <w:p>
      <w:pPr>
        <w:pStyle w:val="Heading2"/>
        <w:spacing w:after="120" w:before="260"/>
      </w:pPr>
      <w:r>
        <w:rPr>
          <w:b/>
          <w:bCs/>
          <w:sz w:val="28"/>
          <w:szCs w:val="28"/>
        </w:rPr>
        <w:t xml:space="preserve">2.1. Cơ sở lý thuyết và công nghệ nền tảng</w:t>
      </w:r>
    </w:p>
    <w:p>
      <w:pPr>
        <w:pStyle w:val="Heading3"/>
        <w:spacing w:after="100" w:before="200"/>
      </w:pPr>
      <w:r>
        <w:rPr>
          <w:b/>
          <w:bCs/>
          <w:sz w:val="26"/>
          <w:szCs w:val="26"/>
        </w:rPr>
        <w:t xml:space="preserve">2.1.1. Tái thiết kế và xử lý nợ kỹ thuật</w:t>
      </w:r>
    </w:p>
    <w:p>
      <w:pPr>
        <w:spacing w:after="120" w:line="360"/>
        <w:ind w:firstLine="567"/>
        <w:jc w:val="both"/>
      </w:pPr>
      <w:r>
        <w:rPr>
          <w:sz w:val="26"/>
          <w:szCs w:val="26"/>
        </w:rPr>
        <w:t xml:space="preserve">Nợ kỹ thuật là khái niệm chỉ những chi phí phát sinh trong tương lai do việc ưu tiên các giải pháp phát triển nhanh thay vì một thiết kế bền vững lâu dài [8][9]. Tại hệ thống AlumVerse phiên bản 2024, nợ kỹ thuật xuất phát chủ yếu từ việc áp dụng kiến trúc Microservices quá sớm so với quy mô bài toán, dẫn đến sự phụ thuộc phức tạp giữa các dịch vụ và làm tăng đáng kể chi phí triển khai lẫn vận hành.</w:t>
      </w:r>
    </w:p>
    <w:p>
      <w:pPr>
        <w:spacing w:after="120" w:line="360"/>
        <w:ind w:firstLine="567"/>
        <w:jc w:val="both"/>
      </w:pPr>
      <w:r>
        <w:rPr>
          <w:sz w:val="26"/>
          <w:szCs w:val="26"/>
        </w:rPr>
        <w:t xml:space="preserve">Qua đánh giá hiện trạng, nhóm nhận định việc chỉnh sửa trực tiếp trên nền tảng cũ sẽ không giải quyết được triệt để các nút thắt về hiệu năng, bởi nguyên nhân nằm ở lựa chọn kiến trúc chứ không nằm ở từng đoạn mã cụ thể. Đồng thời, do không trực tiếp tiếp nhận mã nguồn của khóa trước, nhóm quyết định phát triển mới hoàn toàn. Thay vì tái sử dụng mã nguồn, nhóm kế thừa các tài sản phân tích cốt lõi từ tài liệu của khóa trước [3], bao gồm đặc tả tính năng, kiến trúc nghiệp vụ và cấu trúc cơ sở dữ liệu. Đây là phần phản ánh đúng bài toán kết nối đặc thù tại HCMUS nên vẫn giữ nguyên giá trị.</w:t>
      </w:r>
    </w:p>
    <w:p>
      <w:pPr>
        <w:spacing w:after="120" w:line="360"/>
        <w:ind w:firstLine="567"/>
        <w:jc w:val="both"/>
      </w:pPr>
      <w:r>
        <w:rPr>
          <w:sz w:val="26"/>
          <w:szCs w:val="26"/>
        </w:rPr>
        <w:t xml:space="preserve">Trên nền tảng kế thừa đó, toàn bộ mã nguồn được xây dựng lại theo kiến trúc Modular Monolith. Cơ sở dữ liệu được tái thiết kế trên PostgreSQL, kết hợp giữa việc chuẩn hóa lược đồ cũ và mở rộng cho các nhóm tính năng mới. Giao tiếp giữa các tầng ứng dụng được quy chuẩn hóa và chuyển hoàn toàn sang mô hình xử lý bất đồng bộ.</w:t>
      </w:r>
    </w:p>
    <w:p>
      <w:pPr>
        <w:spacing w:after="120" w:line="360"/>
        <w:ind w:firstLine="567"/>
        <w:jc w:val="both"/>
      </w:pPr>
      <w:r>
        <w:rPr>
          <w:sz w:val="26"/>
          <w:szCs w:val="26"/>
        </w:rPr>
        <w:t xml:space="preserve">Như vậy, từ khóa refactoring trong tên đề tài cần được hiểu là tái thiết kế ở cấp độ kiến trúc, được hiện thực hóa bằng việc xây dựng lại hệ thống dựa trên khung phân tích đã có, chứ không phải tinh chỉnh mã nguồn theo cách hiểu truyền thống của thuật ngữ này.</w:t>
      </w:r>
    </w:p>
    <w:p>
      <w:pPr>
        <w:pStyle w:val="Heading3"/>
        <w:spacing w:after="100" w:before="200"/>
      </w:pPr>
      <w:r>
        <w:rPr>
          <w:b/>
          <w:bCs/>
          <w:sz w:val="26"/>
          <w:szCs w:val="26"/>
        </w:rPr>
        <w:t xml:space="preserve">2.1.2. Kiến trúc Modular Monolith và Layered</w:t>
      </w:r>
    </w:p>
    <w:p>
      <w:pPr>
        <w:spacing w:after="120" w:line="360"/>
        <w:ind w:firstLine="567"/>
        <w:jc w:val="both"/>
      </w:pPr>
      <w:r>
        <w:rPr>
          <w:sz w:val="26"/>
          <w:szCs w:val="26"/>
        </w:rPr>
        <w:t xml:space="preserve">Microservices [10] chia một ứng dụng thành nhiều dịch vụ nhỏ, độc lập, giao tiếp qua mạng. Cách tổ chức này phù hợp với hệ thống quy mô rất lớn và nhiều đội phát triển song song, nhưng làm tăng đáng kể độ phức tạp khi triển khai, giám sát và gỡ lỗi ở các dự án quy mô vừa.</w:t>
      </w:r>
    </w:p>
    <w:p>
      <w:pPr>
        <w:spacing w:after="120" w:line="360"/>
        <w:ind w:firstLine="567"/>
        <w:jc w:val="both"/>
      </w:pPr>
      <w:r>
        <w:rPr>
          <w:sz w:val="26"/>
          <w:szCs w:val="26"/>
        </w:rPr>
        <w:t xml:space="preserve">Modular Monolith giữ hệ thống là một ứng dụng duy nhất khi triển khai, bên trong chia thành các module nghiệp vụ tách biệt với ranh giới trách nhiệm rõ ràng. Kết hợp với kiến trúc Layered [11], mỗi module được tổ chức theo các lớp controller, service, dao, entity và dto. Cách tổ chức này vẫn giữ được sự tách bạch trách nhiệm của Microservices nhưng loại bỏ chi phí vận hành của một hệ phân tán, đồng thời bảo toàn khả năng tách thành dịch vụ độc lập về sau nếu quy mô thực sự đòi hỏi.</w:t>
      </w:r>
    </w:p>
    <w:p>
      <w:pPr>
        <w:spacing w:after="120" w:line="360"/>
        <w:ind w:firstLine="567"/>
        <w:jc w:val="both"/>
      </w:pPr>
      <w:r>
        <w:rPr>
          <w:sz w:val="26"/>
          <w:szCs w:val="26"/>
        </w:rPr>
        <w:t xml:space="preserve">Đề cương ban đầu dự kiến áp dụng Clean Architecture [12] với các tầng use-case, port và adapter. Thực tế triển khai cho thấy chi phí ánh xạ dữ liệu giữa các tầng và chi phí viết kiểm thử tăng đáng kể so với lợi ích thu được ở quy mô đề tài. Nhóm điều chỉnh sang Modular Monolith kết hợp Layered nhằm phù hợp với nguồn lực và tiến độ mà vẫn bảo đảm khả năng bảo trì, mở rộng. Quyết định điều chỉnh này được ghi nhận trong Báo cáo tiến độ.</w:t>
      </w:r>
    </w:p>
    <w:p>
      <w:pPr>
        <w:pStyle w:val="Heading3"/>
        <w:spacing w:after="100" w:before="200"/>
      </w:pPr>
      <w:r>
        <w:rPr>
          <w:b/>
          <w:bCs/>
          <w:sz w:val="26"/>
          <w:szCs w:val="26"/>
        </w:rPr>
        <w:t xml:space="preserve">2.1.3. Reactive Programming</w:t>
      </w:r>
    </w:p>
    <w:p>
      <w:pPr>
        <w:spacing w:after="120" w:line="360"/>
        <w:ind w:firstLine="567"/>
        <w:jc w:val="both"/>
      </w:pPr>
      <w:r>
        <w:rPr>
          <w:sz w:val="26"/>
          <w:szCs w:val="26"/>
        </w:rPr>
        <w:t xml:space="preserve">Mô hình Reactive Programming được đặc trưng bởi bốn tính chất cốt lõi: phản hồi nhanh, có khả năng phục hồi, co giãn linh hoạt và hướng thông điệp [13]. Spring WebFlux hiện thực hóa mô hình này thông qua thư viện Project Reactor với hai kiểu dữ liệu Mono và Flux, cho phép xử lý yêu cầu theo cơ chế bất đồng bộ và không chặn luồng. Ở tầng truy cập dữ liệu, R2DBC tương tác với cơ sở dữ liệu quan hệ theo cùng cơ chế bất đồng bộ, thay thế cho phương thức kết nối đồng bộ truyền thống.</w:t>
      </w:r>
    </w:p>
    <w:p>
      <w:pPr>
        <w:spacing w:after="120" w:line="360"/>
        <w:ind w:firstLine="567"/>
        <w:jc w:val="both"/>
      </w:pPr>
      <w:r>
        <w:rPr>
          <w:sz w:val="26"/>
          <w:szCs w:val="26"/>
        </w:rPr>
        <w:t xml:space="preserve">Nhờ cơ chế không chặn luồng, hệ thống duy trì được đồng thời số lượng lớn kết nối mà chỉ tiêu tốn một lượng luồng xử lý tối thiểu. Đặc điểm này đặc biệt quan trọng với các tính năng đòi hỏi luồng dữ liệu duy trì liên tục như nhắn tin thời gian thực và trợ lý ảo trả lời theo dòng. Sự kết hợp giữa Spring WebFlux và R2DBC nhằm giải quyết nút thắt về tài nguyên khi lưu lượng truy cập tăng đột biến, vốn là hạn chế của mô hình Servlet đồng bộ ở phiên bản 2024.</w:t>
      </w:r>
    </w:p>
    <w:p>
      <w:pPr>
        <w:spacing w:after="120" w:line="360"/>
        <w:ind w:firstLine="567"/>
        <w:jc w:val="both"/>
      </w:pPr>
      <w:r>
        <w:rPr>
          <w:sz w:val="26"/>
          <w:szCs w:val="26"/>
        </w:rPr>
        <w:t xml:space="preserve">Đổi lại, kiến trúc này đi kèm rào cản học tập cao hơn và chi phí gỡ lỗi lớn hơn do vết gọi hàm không còn tuyến tính. Nhóm chấp nhận sự đánh đổi này để bám sát định hướng tối ưu hóa hiệu năng và tài nguyên phần cứng đã đề ra.</w:t>
      </w:r>
    </w:p>
    <w:p>
      <w:pPr>
        <w:pStyle w:val="Heading3"/>
        <w:spacing w:after="100" w:before="200"/>
      </w:pPr>
      <w:r>
        <w:rPr>
          <w:b/>
          <w:bCs/>
          <w:sz w:val="26"/>
          <w:szCs w:val="26"/>
        </w:rPr>
        <w:t xml:space="preserve">2.1.4. Kiến trúc Multi-tenant</w:t>
      </w:r>
    </w:p>
    <w:p>
      <w:pPr>
        <w:spacing w:after="120" w:line="360"/>
        <w:ind w:firstLine="567"/>
        <w:jc w:val="both"/>
      </w:pPr>
      <w:r>
        <w:rPr>
          <w:sz w:val="26"/>
          <w:szCs w:val="26"/>
        </w:rPr>
        <w:t xml:space="preserve">Kiến trúc đa đơn vị phục vụ nhiều tổ chức trên cùng một nền tảng có ba phương pháp quản lý dữ liệu: mỗi đơn vị một cơ sở dữ liệu vật lý riêng; dùng chung cơ sở dữ liệu nhưng tách biệt lược đồ cho từng đơn vị; hoặc dùng chung cả cơ sở dữ liệu lẫn lược đồ và phân biệt dữ liệu thông qua một cột định danh [14]. Ba phương pháp phản ánh sự đánh đổi trực tiếp giữa mức độ cô lập dữ liệu và chi phí vận hành.</w:t>
      </w:r>
    </w:p>
    <w:p>
      <w:pPr>
        <w:spacing w:after="120" w:line="360"/>
        <w:ind w:firstLine="567"/>
        <w:jc w:val="both"/>
      </w:pPr>
      <w:r>
        <w:rPr>
          <w:sz w:val="26"/>
          <w:szCs w:val="26"/>
        </w:rPr>
        <w:t xml:space="preserve">Hệ thống AlumVerse lựa chọn phương pháp thứ ba, phân tách dữ liệu của từng đơn vị thông qua cột định danh organization_id. Ở tầng giao diện, mỗi tổ chức được nhận diện qua đường dẫn riêng, ví dụ alumverse.hcmus.edu.vn/fit. Ở tầng máy chủ, định danh tổ chức được nhúng trực tiếp vào token xác thực và đóng vai trò điều kiện lọc bắt buộc ở mọi truy vấn, thay vì tin tưởng giá trị do phía client gửi lên.</w:t>
      </w:r>
    </w:p>
    <w:p>
      <w:pPr>
        <w:spacing w:after="120" w:line="360"/>
        <w:ind w:firstLine="567"/>
        <w:jc w:val="both"/>
      </w:pPr>
      <w:r>
        <w:rPr>
          <w:sz w:val="26"/>
          <w:szCs w:val="26"/>
        </w:rPr>
        <w:t xml:space="preserve">Lựa chọn này phù hợp với quy mô hiện tại của dự án. Các khoa cùng trực thuộc sự quản lý tập trung của nhà trường và tái sử dụng chung một bộ khung nghiệp vụ, nên mức cô lập logic đã đáp ứng yêu cầu, trong khi việc tách cơ sở dữ liệu vật lý cho từng đơn vị sẽ làm chi phí vận hành tăng lên mà không tạo thêm giá trị tương xứng.</w:t>
      </w:r>
    </w:p>
    <w:p>
      <w:pPr>
        <w:pStyle w:val="Heading3"/>
        <w:spacing w:after="100" w:before="200"/>
      </w:pPr>
      <w:r>
        <w:rPr>
          <w:b/>
          <w:bCs/>
          <w:sz w:val="26"/>
          <w:szCs w:val="26"/>
        </w:rPr>
        <w:t xml:space="preserve">2.1.5. Retrieval-Augmented Generation</w:t>
      </w:r>
    </w:p>
    <w:p>
      <w:pPr>
        <w:spacing w:after="120" w:line="360"/>
        <w:ind w:firstLine="567"/>
        <w:jc w:val="both"/>
      </w:pPr>
      <w:r>
        <w:rPr>
          <w:sz w:val="26"/>
          <w:szCs w:val="26"/>
        </w:rPr>
        <w:t xml:space="preserve">Các mô hình ngôn ngữ lớn sinh câu trả lời dựa trên tri thức đã học trong quá trình huấn luyện. Cách vận hành này bộc lộ ba hạn chế khi áp dụng vào hệ thống thông tin của một tổ chức cụ thể: mô hình không biết các tài liệu nội bộ chưa từng xuất hiện trong dữ liệu huấn luyện; tri thức của mô hình bị đóng băng tại thời điểm huấn luyện; và mô hình có xu hướng sinh ra câu trả lời nghe hợp lý nhưng sai sự thật khi không đủ thông tin.</w:t>
      </w:r>
    </w:p>
    <w:p>
      <w:pPr>
        <w:spacing w:after="120" w:line="360"/>
        <w:ind w:firstLine="567"/>
        <w:jc w:val="both"/>
      </w:pPr>
      <w:r>
        <w:rPr>
          <w:sz w:val="26"/>
          <w:szCs w:val="26"/>
        </w:rPr>
        <w:t xml:space="preserve">Retrieval-Augmented Generation là kiến trúc bổ sung một bước truy hồi thông tin trước bước sinh câu trả lời nhằm khắc phục các hạn chế trên [18]. Quy trình gồm hai giai đoạn. Giai đoạn nạp dữ liệu tách tài liệu thành các đoạn văn bản ngắn, chuyển mỗi đoạn thành một vector biểu diễn ngữ nghĩa thông qua mô hình embedding, rồi lưu vào cơ sở dữ liệu vector. Giai đoạn trả lời chuyển câu hỏi của người dùng thành vector theo cùng mô hình embedding, tìm những đoạn có độ tương đồng ngữ nghĩa cao nhất, sắp xếp lại kết quả theo mức độ liên quan nếu cần, rồi đưa các đoạn này vào ngữ cảnh của lời nhắc để mô hình ngôn ngữ sinh câu trả lời.</w:t>
      </w:r>
    </w:p>
    <w:p>
      <w:pPr>
        <w:spacing w:after="120" w:line="360"/>
        <w:ind w:firstLine="567"/>
        <w:jc w:val="both"/>
      </w:pPr>
      <w:r>
        <w:rPr>
          <w:sz w:val="26"/>
          <w:szCs w:val="26"/>
        </w:rPr>
        <w:t xml:space="preserve">Kiến trúc này mang lại ba lợi ích phù hợp với bài toán của đề tài. Thứ nhất, tri thức của trợ lý ảo được cập nhật bằng cách bổ sung tài liệu vào kho dữ liệu, không cần huấn luyện lại mô hình. Thứ hai, câu trả lời bị ràng buộc trong phạm vi tài liệu đã truy hồi nên giảm đáng kể hiện tượng bịa đặt thông tin. Thứ ba, hệ thống có thể dẫn nguồn tài liệu cho từng câu trả lời, giúp người dùng kiểm chứng.</w:t>
      </w:r>
    </w:p>
    <w:p>
      <w:pPr>
        <w:spacing w:after="120" w:line="360"/>
        <w:ind w:firstLine="567"/>
        <w:jc w:val="both"/>
      </w:pPr>
      <w:r>
        <w:rPr>
          <w:sz w:val="26"/>
          <w:szCs w:val="26"/>
        </w:rPr>
        <w:t xml:space="preserve">Cần phân biệt hai cách ứng dụng mô hình ngôn ngữ trong AlumVerse. Trợ lý ảo FitBot áp dụng kiến trúc RAG vì phải trả lời dựa trên kho tài liệu riêng của nhà trường và cần dẫn được nguồn. Ngược lại, các tác vụ như trích xuất kỹ năng từ mô tả chuyên môn, trích xuất thông tin từ hồ sơ năng lực, làm sạch kết quả nhận dạng ký tự quang học, kiểm duyệt nội dung và tự động gắn thẻ bài viết không cần truy hồi tài liệu, nên được hiện thực bằng lời gọi mô hình ngôn ngữ trực tiếp với đầu ra có cấu trúc. Chi tiết hiện thực của cả hai nhóm được trình bày ở Chương 4.</w:t>
      </w:r>
    </w:p>
    <w:p>
      <w:pPr>
        <w:pStyle w:val="Heading2"/>
        <w:spacing w:after="120" w:before="260"/>
      </w:pPr>
      <w:r>
        <w:rPr>
          <w:b/>
          <w:bCs/>
          <w:sz w:val="28"/>
          <w:szCs w:val="28"/>
        </w:rPr>
        <w:t xml:space="preserve">2.2. Phân tích vai trò của cựu sinh viên và nhu cầu các nhóm người dùng</w:t>
      </w:r>
    </w:p>
    <w:p>
      <w:pPr>
        <w:pStyle w:val="Heading3"/>
        <w:spacing w:after="100" w:before="200"/>
      </w:pPr>
      <w:r>
        <w:rPr>
          <w:b/>
          <w:bCs/>
          <w:sz w:val="26"/>
          <w:szCs w:val="26"/>
        </w:rPr>
        <w:t xml:space="preserve">2.2.1. Vai trò của cựu sinh viên đối với nhà trường</w:t>
      </w:r>
    </w:p>
    <w:p>
      <w:pPr>
        <w:spacing w:after="120" w:line="360"/>
        <w:ind w:firstLine="567"/>
        <w:jc w:val="both"/>
      </w:pPr>
      <w:r>
        <w:rPr>
          <w:sz w:val="26"/>
          <w:szCs w:val="26"/>
        </w:rPr>
        <w:t xml:space="preserve">Các nghiên cứu về vai trò của cựu sinh viên [1][2] chỉ ra rằng cựu sinh viên có thể đóng góp cho nhà trường ở nhiều vai trò khác nhau, bao gồm làm hình mẫu truyền cảm hứng, cố vấn nghề nghiệp, đóng góp chuyên môn, hỗ trợ phát triển nghề nghiệp cho thế hệ sau, tham gia tuyển dụng, đóng góp tài chính và góp phần xây dựng uy tín của nhà trường. Bảy vai trò này là cơ sở để xác định các nhóm tính năng hướng giá trị của AlumVerse, thay vì chỉ dừng lại ở các chức năng tương tác xã hội.</w:t>
      </w:r>
    </w:p>
    <w:p>
      <w:pPr>
        <w:pStyle w:val="Heading3"/>
        <w:spacing w:after="100" w:before="200"/>
      </w:pPr>
      <w:r>
        <w:rPr>
          <w:b/>
          <w:bCs/>
          <w:sz w:val="26"/>
          <w:szCs w:val="26"/>
        </w:rPr>
        <w:t xml:space="preserve">2.2.2. Nhu cầu của nhóm quản trị</w:t>
      </w:r>
    </w:p>
    <w:p>
      <w:pPr>
        <w:spacing w:after="120" w:line="360"/>
        <w:ind w:firstLine="567"/>
        <w:jc w:val="both"/>
      </w:pPr>
      <w:r>
        <w:rPr>
          <w:sz w:val="26"/>
          <w:szCs w:val="26"/>
        </w:rPr>
        <w:t xml:space="preserve">Ở cấp trường và cấp khoa, các đơn vị quản lý cần một công cụ để quản lý hồ sơ sinh viên và cựu sinh viên một cách có hệ thống, xác minh danh tính và phân nhóm theo khoa, theo khóa, thay cho cách lưu trữ rời rạc trên mạng xã hội hoặc bảng tính.</w:t>
      </w:r>
    </w:p>
    <w:p>
      <w:pPr>
        <w:spacing w:after="120" w:line="360"/>
        <w:ind w:firstLine="567"/>
        <w:jc w:val="both"/>
      </w:pPr>
      <w:r>
        <w:rPr>
          <w:sz w:val="26"/>
          <w:szCs w:val="26"/>
        </w:rPr>
        <w:t xml:space="preserve">Việc thống kê tỉ lệ sinh viên có việc làm sau khi tốt nghiệp là một nhu cầu có cơ sở pháp lý. Theo quy định của Bộ Giáo dục và Đào tạo, cụ thể là Công văn số 3943/BGDĐT-GDĐH năm 2018 và Công văn số 2919/BGDĐT-GDĐH năm 2017, các cơ sở giáo dục đại học phải khảo sát, công khai và báo cáo tình hình việc làm của sinh viên sau một năm tốt nghiệp; báo cáo được nộp trước ngày 31 tháng 12 hằng năm và là một trong những căn cứ để xác định chỉ tiêu tuyển sinh [4]. Một nền tảng kết nối cựu sinh viên có thể hỗ trợ trực tiếp nhu cầu này thông qua việc quản lý dữ liệu theo khóa, phát phiếu khảo sát và tổng hợp thông tin việc làm. Đây là căn cứ để AlumVerse xây dựng module khảo sát như một nhóm tính năng độc lập, chứ không chỉ là chức năng phụ trợ.</w:t>
      </w:r>
    </w:p>
    <w:p>
      <w:pPr>
        <w:spacing w:after="120" w:line="360"/>
        <w:ind w:firstLine="567"/>
        <w:jc w:val="both"/>
      </w:pPr>
      <w:r>
        <w:rPr>
          <w:sz w:val="26"/>
          <w:szCs w:val="26"/>
        </w:rPr>
        <w:t xml:space="preserve">Nhà trường cũng cần một kênh chính thức để truyền thông tin tức, tổ chức sự kiện, vinh danh thành tích và tiếp nhận đóng góp, gây quỹ một cách minh bạch.</w:t>
      </w:r>
    </w:p>
    <w:p>
      <w:pPr>
        <w:pStyle w:val="Heading3"/>
        <w:spacing w:after="100" w:before="200"/>
      </w:pPr>
      <w:r>
        <w:rPr>
          <w:b/>
          <w:bCs/>
          <w:sz w:val="26"/>
          <w:szCs w:val="26"/>
        </w:rPr>
        <w:t xml:space="preserve">2.2.3. Nhu cầu của nhóm cựu sinh viên</w:t>
      </w:r>
    </w:p>
    <w:p>
      <w:pPr>
        <w:spacing w:after="120" w:line="360"/>
        <w:ind w:firstLine="567"/>
        <w:jc w:val="both"/>
      </w:pPr>
      <w:r>
        <w:rPr>
          <w:sz w:val="26"/>
          <w:szCs w:val="26"/>
        </w:rPr>
        <w:t xml:space="preserve">Cựu sinh viên có nhu cầu kết nối lại với bạn bè cũ, ôn lại kỷ niệm và mở rộng quan hệ nghề nghiệp. Họ cũng mong muốn tham gia các sự kiện gắn kết định kỳ, đôi khi đi kèm mô hình hội viên có thu phí và quyền lợi tương ứng. Chương trình RMIT Active Hub của Trường Đại học RMIT Việt Nam là một ví dụ: cựu sinh viên đóng phí theo học kỳ để sử dụng cơ sở vật chất, dịch vụ và câu lạc bộ, qua đó duy trì kết nối với trường (Hình 2.1) [15].</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2.1]  </w:t>
      </w:r>
      <w:r>
        <w:rPr>
          <w:i/>
          <w:iCs/>
          <w:color w:val="9C2A00"/>
          <w:sz w:val="22"/>
          <w:szCs w:val="22"/>
        </w:rPr>
        <w:t xml:space="preserve">Ảnh chụp trang quyền lợi hội viên của chương trình RMIT Active Hub.</w:t>
      </w:r>
    </w:p>
    <w:p>
      <w:pPr>
        <w:spacing w:after="160"/>
        <w:jc w:val="center"/>
      </w:pPr>
      <w:r>
        <w:rPr>
          <w:i/>
          <w:iCs/>
          <w:sz w:val="24"/>
          <w:szCs w:val="24"/>
        </w:rPr>
        <w:t xml:space="preserve">Hình 2.1: Trang quyền lợi hội viên của chương trình RMIT Active Hub</w:t>
      </w:r>
    </w:p>
    <w:p>
      <w:pPr>
        <w:spacing w:after="120" w:line="360"/>
        <w:ind w:firstLine="567"/>
        <w:jc w:val="both"/>
      </w:pPr>
      <w:r>
        <w:rPr>
          <w:sz w:val="26"/>
          <w:szCs w:val="26"/>
        </w:rPr>
        <w:t xml:space="preserve">Mô hình hội viên trả phí gắn với cơ sở vật chất phù hợp với các trường có hạ tầng lớn và khó áp dụng cho phần lớn trường đại học công lập tại Việt Nam. Ở các trường công lập, hoạt động gắn kết cựu sinh viên chủ yếu xoay quanh các sự kiện gặp mặt. Tại Khoa Công nghệ Thông tin, Trường Đại học Khoa học Tự nhiên, các hoạt động này gồm ngày hội cựu sinh viên, giải thể thao truyền thống, câu lạc bộ cựu sinh viên, các buổi seminar chia sẻ kinh nghiệm và quỹ học bổng hỗ trợ sinh viên (Hình 2.2) [16]. AlumVerse hướng theo mô hình này và phục vụ các nhu cầu đó qua module sự kiện, mạng lưới kết nối, cố vấn và gây quỹ, thay vì mô hình hội viên trả phí.</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2.2]  </w:t>
      </w:r>
      <w:r>
        <w:rPr>
          <w:i/>
          <w:iCs/>
          <w:color w:val="9C2A00"/>
          <w:sz w:val="22"/>
          <w:szCs w:val="22"/>
        </w:rPr>
        <w:t xml:space="preserve">Ảnh chụp trang hoạt động cựu sinh viên của Khoa Công nghệ Thông tin, HCMUS.</w:t>
      </w:r>
    </w:p>
    <w:p>
      <w:pPr>
        <w:spacing w:after="160"/>
        <w:jc w:val="center"/>
      </w:pPr>
      <w:r>
        <w:rPr>
          <w:i/>
          <w:iCs/>
          <w:sz w:val="24"/>
          <w:szCs w:val="24"/>
        </w:rPr>
        <w:t xml:space="preserve">Hình 2.2: Trang hoạt động cựu sinh viên của Khoa Công nghệ Thông tin, HCMUS</w:t>
      </w:r>
    </w:p>
    <w:p>
      <w:pPr>
        <w:spacing w:after="120" w:line="360"/>
        <w:ind w:firstLine="567"/>
        <w:jc w:val="both"/>
      </w:pPr>
      <w:r>
        <w:rPr>
          <w:sz w:val="26"/>
          <w:szCs w:val="26"/>
        </w:rPr>
        <w:t xml:space="preserve">Bên cạnh nhu cầu gắn kết, cựu sinh viên còn quan tâm đến cơ hội việc làm, giới thiệu việc làm và học tập suốt đời thông qua chia sẻ kỹ năng, khóa học và thông tin học sau đại học.</w:t>
      </w:r>
    </w:p>
    <w:p>
      <w:pPr>
        <w:pStyle w:val="Heading3"/>
        <w:spacing w:after="100" w:before="200"/>
      </w:pPr>
      <w:r>
        <w:rPr>
          <w:b/>
          <w:bCs/>
          <w:sz w:val="26"/>
          <w:szCs w:val="26"/>
        </w:rPr>
        <w:t xml:space="preserve">2.2.4. Nhu cầu của nhóm sinh viên</w:t>
      </w:r>
    </w:p>
    <w:p>
      <w:pPr>
        <w:spacing w:after="120" w:line="360"/>
        <w:ind w:firstLine="567"/>
        <w:jc w:val="both"/>
      </w:pPr>
      <w:r>
        <w:rPr>
          <w:sz w:val="26"/>
          <w:szCs w:val="26"/>
        </w:rPr>
        <w:t xml:space="preserve">Sinh viên đang theo học có nhu cầu lớn trong việc được giải đáp học thuật, định hướng lộ trình nghề nghiệp và tìm kiếm sự dẫn dắt từ thế hệ đi trước. Một báo cáo tổng quan phân tích 73 nghiên cứu khoa học đã khẳng định hoạt động cố vấn có tác động tích cực đến quá trình lựa chọn nghề nghiệp và bước chuyển tiếp từ giảng đường sang thị trường lao động của sinh viên [5].</w:t>
      </w:r>
    </w:p>
    <w:p>
      <w:pPr>
        <w:spacing w:after="120" w:line="360"/>
        <w:ind w:firstLine="567"/>
        <w:jc w:val="both"/>
      </w:pPr>
      <w:r>
        <w:rPr>
          <w:sz w:val="26"/>
          <w:szCs w:val="26"/>
        </w:rPr>
        <w:t xml:space="preserve">Trên thực tế, mô hình ghép cặp cố vấn đã chứng minh được hiệu quả và được ứng dụng rộng rãi. Ở quy mô toàn cầu, nền tảng ADPList thu hút hơn 40.000 chuyên gia đến từ trên 140 quốc gia (Hình 2.3) [6].</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2.3]  </w:t>
      </w:r>
      <w:r>
        <w:rPr>
          <w:i/>
          <w:iCs/>
          <w:color w:val="9C2A00"/>
          <w:sz w:val="22"/>
          <w:szCs w:val="22"/>
        </w:rPr>
        <w:t xml:space="preserve">Ảnh chụp giao diện nền tảng ADPList.</w:t>
      </w:r>
    </w:p>
    <w:p>
      <w:pPr>
        <w:spacing w:after="160"/>
        <w:jc w:val="center"/>
      </w:pPr>
      <w:r>
        <w:rPr>
          <w:i/>
          <w:iCs/>
          <w:sz w:val="24"/>
          <w:szCs w:val="24"/>
        </w:rPr>
        <w:t xml:space="preserve">Hình 2.3: Giao diện nền tảng ADPList</w:t>
      </w:r>
    </w:p>
    <w:p>
      <w:pPr>
        <w:spacing w:after="120" w:line="360"/>
        <w:ind w:firstLine="567"/>
        <w:jc w:val="both"/>
      </w:pPr>
      <w:r>
        <w:rPr>
          <w:sz w:val="26"/>
          <w:szCs w:val="26"/>
        </w:rPr>
        <w:t xml:space="preserve">Tại Việt Nam, mô hình này vận hành sôi nổi qua nhiều nền tảng và cộng đồng nghề nghiệp [7]. Tiêu biểu trong số đó là Mentori.vn (Hình 2.4), với luồng nghiệp vụ tổ chức rất sát với định hướng mà nhóm hướng tới. Hệ thống AlumVerse tham khảo trải nghiệm người dùng diện rộng từ ADPList và bám sát mô hình luồng nghiệp vụ của Mentori.vn.</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2.4]  </w:t>
      </w:r>
      <w:r>
        <w:rPr>
          <w:i/>
          <w:iCs/>
          <w:color w:val="9C2A00"/>
          <w:sz w:val="22"/>
          <w:szCs w:val="22"/>
        </w:rPr>
        <w:t xml:space="preserve">Ảnh chụp giao diện nền tảng Mentori.vn.</w:t>
      </w:r>
    </w:p>
    <w:p>
      <w:pPr>
        <w:spacing w:after="160"/>
        <w:jc w:val="center"/>
      </w:pPr>
      <w:r>
        <w:rPr>
          <w:i/>
          <w:iCs/>
          <w:sz w:val="24"/>
          <w:szCs w:val="24"/>
        </w:rPr>
        <w:t xml:space="preserve">Hình 2.4: Giao diện nền tảng Mentori.vn</w:t>
      </w:r>
    </w:p>
    <w:p>
      <w:pPr>
        <w:spacing w:after="120" w:line="360"/>
        <w:ind w:firstLine="567"/>
        <w:jc w:val="both"/>
      </w:pPr>
      <w:r>
        <w:rPr>
          <w:sz w:val="26"/>
          <w:szCs w:val="26"/>
        </w:rPr>
        <w:t xml:space="preserve">Khoảng trống kỹ năng hiện nay càng làm bộc lộ rõ nhu cầu được cố vấn. Một khảo sát trên 3.000 sinh viên cho thấy 42% chưa có việc làm do không đáp ứng được yêu cầu tuyển dụng, và 61% sinh viên đã đi làm vẫn tự nhận thấy sự thiếu hụt về kỹ năng chuyên môn [17].</w:t>
      </w:r>
    </w:p>
    <w:p>
      <w:pPr>
        <w:pStyle w:val="Heading3"/>
        <w:spacing w:after="100" w:before="200"/>
      </w:pPr>
      <w:r>
        <w:rPr>
          <w:b/>
          <w:bCs/>
          <w:sz w:val="26"/>
          <w:szCs w:val="26"/>
        </w:rPr>
        <w:t xml:space="preserve">2.2.5. Khảo sát nhu cầu tại HCMUS</w:t>
      </w:r>
    </w:p>
    <w:p>
      <w:pPr>
        <w:spacing w:after="120" w:line="360"/>
        <w:ind w:firstLine="567"/>
        <w:jc w:val="both"/>
      </w:pPr>
      <w:r>
        <w:rPr>
          <w:sz w:val="26"/>
          <w:szCs w:val="26"/>
        </w:rPr>
        <w:t xml:space="preserve">Để kiểm chứng các nhu cầu trên trong bối cảnh cụ thể của nhà trường, nhóm đã thực hiện một khảo sát trực tuyến với sinh viên và cựu sinh viên, thu được 90 phản hồi hợp lệ, trong đó có 55 sinh viên năm ba và năm tư, 19 sinh viên năm nhất và năm hai, cùng 16 cựu sinh viên. Do quy mô mẫu còn khiêm tốn và nghiêng về nhóm sinh viên, kết quả khảo sát được sử dụng như một khảo sát thăm dò định hướng, không nhằm mục đích suy rộng thống kê.</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[BẢNG 2.1]  </w:t>
      </w:r>
      <w:r>
        <w:rPr>
          <w:i/>
          <w:iCs/>
          <w:color w:val="9C2A00"/>
          <w:sz w:val="22"/>
          <w:szCs w:val="22"/>
        </w:rPr>
        <w:t xml:space="preserve">Mức độ quan tâm theo từng nhóm nhu cầu (thang 1 đến 5), N = 90. Dữ liệu đã có sẵn trong tệp thống kê khảo sát, chèn bảng vào đây.</w:t>
      </w:r>
    </w:p>
    <w:p>
      <w:pPr>
        <w:spacing w:after="160"/>
        <w:jc w:val="center"/>
      </w:pPr>
      <w:r>
        <w:rPr>
          <w:i/>
          <w:iCs/>
          <w:sz w:val="24"/>
          <w:szCs w:val="24"/>
        </w:rPr>
        <w:t xml:space="preserve">Bảng 2.1: Mức độ quan tâm của người tham gia khảo sát theo từng nhóm nhu cầu (thang 1 đến 5), N = 90</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2.5]  </w:t>
      </w:r>
      <w:r>
        <w:rPr>
          <w:i/>
          <w:iCs/>
          <w:color w:val="9C2A00"/>
          <w:sz w:val="22"/>
          <w:szCs w:val="22"/>
        </w:rPr>
        <w:t xml:space="preserve">Biểu đồ cột thể hiện mức độ quan tâm của sinh viên năm ba và năm tư theo các hạng mục (n = 55).</w:t>
      </w:r>
    </w:p>
    <w:p>
      <w:pPr>
        <w:spacing w:after="160"/>
        <w:jc w:val="center"/>
      </w:pPr>
      <w:r>
        <w:rPr>
          <w:i/>
          <w:iCs/>
          <w:sz w:val="24"/>
          <w:szCs w:val="24"/>
        </w:rPr>
        <w:t xml:space="preserve">Hình 2.5: Biểu đồ mức độ quan tâm của sinh viên năm ba và năm tư theo các hạng mục (n = 55)</w:t>
      </w:r>
    </w:p>
    <w:p>
      <w:pPr>
        <w:spacing w:after="120" w:line="360"/>
        <w:ind w:firstLine="567"/>
        <w:jc w:val="both"/>
      </w:pPr>
      <w:r>
        <w:rPr>
          <w:sz w:val="26"/>
          <w:szCs w:val="26"/>
        </w:rPr>
        <w:t xml:space="preserve">Ở nhóm sinh viên năm ba và năm tư, hai hạng mục được quan tâm nhất là tiếp cận cơ hội nghề nghiệp và tìm kiếm người cố vấn trong ngành; khoảng 85% sinh viên nhóm này mong muốn tham gia hoạt động cố vấn. Kết quả này thống nhất với các phân tích lý thuyết ở những mục trước.</w:t>
      </w:r>
    </w:p>
    <w:p>
      <w:pPr>
        <w:spacing w:after="120" w:line="360"/>
        <w:ind w:firstLine="567"/>
        <w:jc w:val="both"/>
      </w:pPr>
      <w:r>
        <w:rPr>
          <w:sz w:val="26"/>
          <w:szCs w:val="26"/>
        </w:rPr>
        <w:t xml:space="preserve">Một điểm đáng chú ý là sự lệch pha giữa cung và cầu: nhu cầu được cố vấn của sinh viên rất cao, nhưng phần lớn cựu sinh viên còn dè dặt khi được hỏi về khả năng đảm nhận vai trò người cố vấn. Nhận xét này là căn cứ trực tiếp để thiết kế các tính năng làm giảm rào cản cho người cố vấn, cụ thể là cho phép lưu nháp hồ sơ, tự động gợi ý thẻ kỹ năng và quản lý lịch linh hoạt. Tương tự, về xác minh danh tính, người tham gia có xu hướng dè dặt khi phải cung cấp giấy tờ tùy thân, do đó hệ thống thiết kế quy trình xác minh cho phép che bớt thông tin nhạy cảm trên giấy tờ.</w:t>
      </w:r>
    </w:p>
    <w:p>
      <w:pPr>
        <w:pStyle w:val="Heading2"/>
        <w:spacing w:after="120" w:before="260"/>
      </w:pPr>
      <w:r>
        <w:rPr>
          <w:b/>
          <w:bCs/>
          <w:sz w:val="28"/>
          <w:szCs w:val="28"/>
        </w:rPr>
        <w:t xml:space="preserve">2.3. Khảo sát các hệ thống liên quan</w:t>
      </w:r>
    </w:p>
    <w:p>
      <w:pPr>
        <w:pStyle w:val="Heading3"/>
        <w:spacing w:after="100" w:before="200"/>
      </w:pPr>
      <w:r>
        <w:rPr>
          <w:b/>
          <w:bCs/>
          <w:sz w:val="26"/>
          <w:szCs w:val="26"/>
        </w:rPr>
        <w:t xml:space="preserve">2.3.1. Các nền tảng cựu sinh viên</w:t>
      </w:r>
    </w:p>
    <w:p>
      <w:pPr>
        <w:spacing w:after="120" w:line="360"/>
        <w:ind w:firstLine="567"/>
        <w:jc w:val="both"/>
      </w:pPr>
      <w:r>
        <w:rPr>
          <w:sz w:val="26"/>
          <w:szCs w:val="26"/>
        </w:rPr>
        <w:t xml:space="preserve">Kế thừa quá trình khảo sát của báo cáo AlumVerse 2024 [3], nhóm xem xét một số nền tảng kết nối cựu sinh viên tiêu biểu. Hệ thống BKA Alumni của Trường Đại học Bách khoa Thành phố Hồ Chí Minh có nhiều tính năng tương tác kiểu mạng xã hội nhưng thiếu mục vinh danh cựu sinh viên tiêu biểu. Hệ thống RMIT Vietnam Alumni cho phép đăng ký sự kiện và có mục tư vấn, nhưng chỉ phát triển trên nền web và hạn chế tương tác giữa các cựu sinh viên. Hệ thống IoBM Alumni có tính năng tìm việc và tạo câu chuyện, nhưng thiếu mục tin tức và vinh danh. Hệ thống Oxford Alumni cho phép đăng ký sự kiện và tham gia nhiều nhóm, nhưng cũng chỉ phát triển trên nền web và hạn chế trao đổi giữa các thành viên.</w:t>
      </w:r>
    </w:p>
    <w:p>
      <w:pPr>
        <w:spacing w:after="120" w:line="360"/>
        <w:ind w:firstLine="567"/>
        <w:jc w:val="both"/>
      </w:pPr>
      <w:r>
        <w:rPr>
          <w:sz w:val="26"/>
          <w:szCs w:val="26"/>
        </w:rPr>
        <w:t xml:space="preserve">Điểm chung của các nền tảng này là mạnh về truyền thông một chiều và quản lý sự kiện, nhưng yếu ở các luồng tạo giá trị hai chiều giữa cựu sinh viên và sinh viên.</w:t>
      </w:r>
    </w:p>
    <w:p>
      <w:pPr>
        <w:pStyle w:val="Heading3"/>
        <w:spacing w:after="100" w:before="200"/>
      </w:pPr>
      <w:r>
        <w:rPr>
          <w:b/>
          <w:bCs/>
          <w:sz w:val="26"/>
          <w:szCs w:val="26"/>
        </w:rPr>
        <w:t xml:space="preserve">2.3.2. Ánh xạ tính năng với nền tảng tham khảo và vai trò cựu sinh viên</w:t>
      </w:r>
    </w:p>
    <w:p>
      <w:pPr>
        <w:spacing w:after="120" w:line="360"/>
        <w:ind w:firstLine="567"/>
        <w:jc w:val="both"/>
      </w:pPr>
      <w:r>
        <w:rPr>
          <w:sz w:val="26"/>
          <w:szCs w:val="26"/>
        </w:rPr>
        <w:t xml:space="preserve">Mỗi nhóm tính năng mở rộng của AlumVerse đều được nghiên cứu và tinh chỉnh từ một hoặc nhiều nền tảng thực tế, đồng thời được đối chiếu ngược lại với bảy vai trò của cựu sinh viên đã nêu ở mục 2.2.1. Bảng 2.2 tổng hợp toàn bộ phép ánh xạ này.</w:t>
      </w:r>
    </w:p>
    <w:p>
      <w:pPr>
        <w:spacing w:after="120" w:line="360"/>
        <w:ind w:firstLine="567"/>
        <w:jc w:val="both"/>
      </w:pPr>
      <w:r>
        <w:rPr>
          <w:sz w:val="26"/>
          <w:szCs w:val="26"/>
        </w:rPr>
        <w:t xml:space="preserve">Về cố vấn, nhóm tham khảo luồng nghiệp vụ từ Mentori.vn và ADPList (Hình 2.3, Hình 2.4); các chu trình đăng ký hồ sơ, ghép cặp, đặt lịch hẹn và đánh giá phản hồi được thiết kế bám sát Mentori.vn. Về gây quỹ, thiết kế trang chiến dịch và cơ chế minh bạch lịch sử đóng góp được tham chiếu từ UEH Alumni và GlobalGiving. Về diễn đàn nghề nghiệp, cấu trúc phân tầng chuyên mục được học hỏi từ các cộng đồng chuyên môn và nền tảng hỏi đáp học thuật. Về sự kiện và hội viên, quy trình phát hành vé và cấp phát quyền lợi lấy cảm hứng từ RMIT Active Hub (Hình 2.1) cùng các hệ thống phân phối vé điện tử phổ biến. Về cơ hội học tập và việc làm, cấu trúc bài đăng tuyển dụng và quản lý khóa học được xây dựng dựa trên các cổng việc làm và hệ thống quản lý học liệu trực tuyến.</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2.6]  </w:t>
      </w:r>
      <w:r>
        <w:rPr>
          <w:i/>
          <w:iCs/>
          <w:color w:val="9C2A00"/>
          <w:sz w:val="22"/>
          <w:szCs w:val="22"/>
        </w:rPr>
        <w:t xml:space="preserve">Hình ghép dạng lưới gồm ba ảnh: trang chiến dịch gây quỹ tham chiếu, cấu trúc chuyên mục diễn đàn tham chiếu, và cổng việc làm hoặc học liệu tham chiếu. Ghép chung một hình để tiết kiệm số trang.</w:t>
      </w:r>
    </w:p>
    <w:p>
      <w:pPr>
        <w:spacing w:after="160"/>
        <w:jc w:val="center"/>
      </w:pPr>
      <w:r>
        <w:rPr>
          <w:i/>
          <w:iCs/>
          <w:sz w:val="24"/>
          <w:szCs w:val="24"/>
        </w:rPr>
        <w:t xml:space="preserve">Hình 2.6: Một số nền tảng tham chiếu cho các nhóm tính năng gây quỹ, diễn đàn và việc làm</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[BẢNG 2.2]  </w:t>
      </w:r>
      <w:r>
        <w:rPr>
          <w:i/>
          <w:iCs/>
          <w:color w:val="9C2A00"/>
          <w:sz w:val="22"/>
          <w:szCs w:val="22"/>
        </w:rPr>
        <w:t xml:space="preserve">Bảng ánh xạ gộp: cột gồm Nhóm tính năng | Nền tảng tham chiếu | Yếu tố kế thừa | Vai trò cựu sinh viên được phục vụ. Gộp cả năm nhóm tính năng vào một bảng thay vì tách năm bảng riêng.</w:t>
      </w:r>
    </w:p>
    <w:p>
      <w:pPr>
        <w:spacing w:after="160"/>
        <w:jc w:val="center"/>
      </w:pPr>
      <w:r>
        <w:rPr>
          <w:i/>
          <w:iCs/>
          <w:sz w:val="24"/>
          <w:szCs w:val="24"/>
        </w:rPr>
        <w:t xml:space="preserve">Bảng 2.2: Ánh xạ các nhóm tính năng của AlumVerse với nền tảng tham chiếu và vai trò cựu sinh viên</w:t>
      </w:r>
    </w:p>
    <w:p>
      <w:pPr>
        <w:pStyle w:val="Heading3"/>
        <w:spacing w:after="100" w:before="200"/>
      </w:pPr>
      <w:r>
        <w:rPr>
          <w:b/>
          <w:bCs/>
          <w:sz w:val="26"/>
          <w:szCs w:val="26"/>
        </w:rPr>
        <w:t xml:space="preserve">2.3.3. Mô hình mạng xã hội thuần túy và mô hình hướng giá trị</w:t>
      </w:r>
    </w:p>
    <w:p>
      <w:pPr>
        <w:spacing w:after="120" w:line="360"/>
        <w:ind w:firstLine="567"/>
        <w:jc w:val="both"/>
      </w:pPr>
      <w:r>
        <w:rPr>
          <w:sz w:val="26"/>
          <w:szCs w:val="26"/>
        </w:rPr>
        <w:t xml:space="preserve">Một đặc điểm chung của các nền tảng vận hành theo hướng mạng xã hội là tỉ lệ tương tác thực chất trên mỗi bài đăng rất thấp so với quy mô thành viên. Bảng 2.3 tổng hợp quan sát của nhóm về một số cộng đồng cựu sinh viên, cho thấy tỉ lệ tương tác ước lượng chỉ dao động trong một khoảng rất nhỏ. Cần lưu ý đây là số liệu quan sát của các cộng đồng khác, được dùng để minh họa cho xu hướng chung của mô hình mạng xã hội, không phải số liệu của riêng AlumVerse.</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[BẢNG 2.3]  </w:t>
      </w:r>
      <w:r>
        <w:rPr>
          <w:i/>
          <w:iCs/>
          <w:color w:val="9C2A00"/>
          <w:sz w:val="22"/>
          <w:szCs w:val="22"/>
        </w:rPr>
        <w:t xml:space="preserve">Tỉ lệ tương tác ước lượng của một số cộng đồng cựu sinh viên. Dữ liệu đã có sẵn, chèn bảng vào đây.</w:t>
      </w:r>
    </w:p>
    <w:p>
      <w:pPr>
        <w:spacing w:after="160"/>
        <w:jc w:val="center"/>
      </w:pPr>
      <w:r>
        <w:rPr>
          <w:i/>
          <w:iCs/>
          <w:sz w:val="24"/>
          <w:szCs w:val="24"/>
        </w:rPr>
        <w:t xml:space="preserve">Bảng 2.3: Tỉ lệ tương tác ước lượng của một số cộng đồng cựu sinh viên</w:t>
      </w:r>
    </w:p>
    <w:p>
      <w:pPr>
        <w:spacing w:after="120" w:line="360"/>
        <w:ind w:firstLine="567"/>
        <w:jc w:val="both"/>
      </w:pPr>
      <w:r>
        <w:rPr>
          <w:sz w:val="26"/>
          <w:szCs w:val="26"/>
        </w:rPr>
        <w:t xml:space="preserve">Từ quan sát này, nhóm rút ra một nguyên tắc thiết kế cốt lõi cho AlumVerse: thay vì đặt mục tiêu tạo ra lượng tương tác thường xuyên như mạng xã hội, hệ thống tập trung vào những giá trị thiết thực có ích ngay cả khi người dùng chỉ truy cập không thường xuyên, chẳng hạn đặt lịch cố vấn, tìm kiếm cơ hội việc làm hay đóng góp cho một quỹ học bổng.</w:t>
      </w:r>
    </w:p>
    <w:p>
      <w:pPr>
        <w:spacing w:after="120" w:line="360"/>
        <w:ind w:firstLine="567"/>
        <w:jc w:val="both"/>
      </w:pPr>
      <w:r>
        <w:rPr>
          <w:sz w:val="26"/>
          <w:szCs w:val="26"/>
        </w:rPr>
        <w:t xml:space="preserve">Theo nguyên tắc này, các tính năng mang tính tương tác như nhắn tin và diễn đàn không phải là mục đích cuối cùng của hệ thống, mà đóng vai trò công cụ hỗ trợ cho hoạt động cố vấn và kết nối nghề nghiệp. Để nhắn tin riêng, người dùng cần được chấp nhận yêu cầu kết nối trước. Diễn đàn được tổ chức theo chủ đề nghề nghiệp và học tập thay vì là một dòng thời gian tự do. Cách giới hạn có chủ đích này phân biệt AlumVerse với một mạng xã hội công cộng, và giữ cho các tính năng tương tác luôn phục vụ mục tiêu tạo giá trị của hệ thống.</w:t>
      </w:r>
    </w:p>
    <w:p>
      <w:pPr>
        <w:pStyle w:val="Heading2"/>
        <w:spacing w:after="120" w:before="260"/>
      </w:pPr>
      <w:r>
        <w:rPr>
          <w:b/>
          <w:bCs/>
          <w:sz w:val="28"/>
          <w:szCs w:val="28"/>
        </w:rPr>
        <w:t xml:space="preserve">2.4. Phân tích hệ thống AlumVerse 2024</w:t>
      </w:r>
    </w:p>
    <w:p>
      <w:pPr>
        <w:pStyle w:val="Heading3"/>
        <w:spacing w:after="100" w:before="200"/>
      </w:pPr>
      <w:r>
        <w:rPr>
          <w:b/>
          <w:bCs/>
          <w:sz w:val="26"/>
          <w:szCs w:val="26"/>
        </w:rPr>
        <w:t xml:space="preserve">2.4.1. Kiến trúc và công nghệ</w:t>
      </w:r>
    </w:p>
    <w:p>
      <w:pPr>
        <w:spacing w:after="120" w:line="360"/>
        <w:ind w:firstLine="567"/>
        <w:jc w:val="both"/>
      </w:pPr>
      <w:r>
        <w:rPr>
          <w:sz w:val="26"/>
          <w:szCs w:val="26"/>
        </w:rPr>
        <w:t xml:space="preserve">Theo báo cáo AlumVerse 2024 [3], hệ thống được xây dựng theo kiến trúc Microservices, với phần backend gồm chín dịch vụ Spring Boot, đăng ký dịch vụ qua Eureka và định tuyến qua API Gateway. Phần web được phát triển bằng Next.js, phần di động bằng Flutter. Cơ sở dữ liệu sử dụng MySQL với Spring Data JPA; hình ảnh được lưu trên Google Cloud Storage và thông báo đẩy được gửi qua Firebase Cloud Messaging. Đây là điểm xuất phát kỹ thuật để đối chiếu với các quyết định tái thiết kế của phiên bản 2026.</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2.7]  </w:t>
      </w:r>
      <w:r>
        <w:rPr>
          <w:i/>
          <w:iCs/>
          <w:color w:val="9C2A00"/>
          <w:sz w:val="22"/>
          <w:szCs w:val="22"/>
        </w:rPr>
        <w:t xml:space="preserve">Sơ đồ tổng quan kiến trúc Microservices của hệ thống AlumVerse 2024 (chín dịch vụ, Eureka, API Gateway).</w:t>
      </w:r>
    </w:p>
    <w:p>
      <w:pPr>
        <w:spacing w:after="160"/>
        <w:jc w:val="center"/>
      </w:pPr>
      <w:r>
        <w:rPr>
          <w:i/>
          <w:iCs/>
          <w:sz w:val="24"/>
          <w:szCs w:val="24"/>
        </w:rPr>
        <w:t xml:space="preserve">Hình 2.7: Sơ đồ tổng quan kiến trúc Microservices của hệ thống AlumVerse 2024</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[BẢNG 2.4]  </w:t>
      </w:r>
      <w:r>
        <w:rPr>
          <w:i/>
          <w:iCs/>
          <w:color w:val="9C2A00"/>
          <w:sz w:val="22"/>
          <w:szCs w:val="22"/>
        </w:rPr>
        <w:t xml:space="preserve">So sánh kiến trúc và công nghệ giữa AlumVerse 2024 và phiên bản 2026: kiến trúc, framework backend, mô hình xử lý, cơ sở dữ liệu, tầng truy cập dữ liệu, web, mobile, lưu trữ tệp, thông báo.</w:t>
      </w:r>
    </w:p>
    <w:p>
      <w:pPr>
        <w:spacing w:after="160"/>
        <w:jc w:val="center"/>
      </w:pPr>
      <w:r>
        <w:rPr>
          <w:i/>
          <w:iCs/>
          <w:sz w:val="24"/>
          <w:szCs w:val="24"/>
        </w:rPr>
        <w:t xml:space="preserve">Bảng 2.4: So sánh kiến trúc và công nghệ giữa AlumVerse 2024 và phiên bản 2026</w:t>
      </w:r>
    </w:p>
    <w:p>
      <w:pPr>
        <w:pStyle w:val="Heading3"/>
        <w:spacing w:after="100" w:before="200"/>
      </w:pPr>
      <w:r>
        <w:rPr>
          <w:b/>
          <w:bCs/>
          <w:sz w:val="26"/>
          <w:szCs w:val="26"/>
        </w:rPr>
        <w:t xml:space="preserve">2.4.2. Phạm vi chức năng và mô hình dữ liệu</w:t>
      </w:r>
    </w:p>
    <w:p>
      <w:pPr>
        <w:spacing w:after="120" w:line="360"/>
        <w:ind w:firstLine="567"/>
        <w:jc w:val="both"/>
      </w:pPr>
      <w:r>
        <w:rPr>
          <w:sz w:val="26"/>
          <w:szCs w:val="26"/>
        </w:rPr>
        <w:t xml:space="preserve">Bảng so sánh chức năng trong báo cáo 2024 liệt kê chín tính năng cốt lõi, gồm hỗ trợ đa nền tảng, quản lý vai trò và phân quyền, đăng ký tham gia sự kiện, gương thành công, tư vấn và cố vấn, tạo nhóm, đăng bài trong nhóm, nhắn tin và tìm kiếm cựu sinh viên. Toàn bộ các tính năng này thuộc nhóm nội dung và kết nối xã hội, chưa có tính năng nào tạo ra giá trị nghề nghiệp hay tài chính đo lường được. Riêng tính năng tư vấn và cố vấn của bản 2024 mới chỉ ở mức một bài đăng kèm bình chọn ý kiến và bình luận, chưa có cơ chế đặt lịch hẹn hay theo dõi tiến độ như một chương trình cố vấn có cấu trúc.</w:t>
      </w:r>
    </w:p>
    <w:p>
      <w:pPr>
        <w:spacing w:after="120" w:line="360"/>
        <w:ind w:firstLine="567"/>
        <w:jc w:val="both"/>
      </w:pPr>
      <w:r>
        <w:rPr>
          <w:sz w:val="26"/>
          <w:szCs w:val="26"/>
        </w:rPr>
        <w:t xml:space="preserve">Về dữ liệu, lược đồ của hệ thống 2024 được tổ chức quanh tám nhóm thực thể, gồm người dùng, vai trò, tin tức, sự kiện, gương thành công, tư vấn, nhóm và nhắn tin. Không có nhóm bảng nào dành cho gây quỹ, việc làm, học liệu hay khảo sát, cho thấy hệ thống chưa được thiết kế để phục vụ các nhóm giá trị này.</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[HÌNH 2.8]  </w:t>
      </w:r>
      <w:r>
        <w:rPr>
          <w:i/>
          <w:iCs/>
          <w:color w:val="9C2A00"/>
          <w:sz w:val="22"/>
          <w:szCs w:val="22"/>
        </w:rPr>
        <w:t xml:space="preserve">Sơ đồ các nhóm thực thể trong lược đồ cơ sở dữ liệu của hệ thống AlumVerse 2024 (tám nhóm).</w:t>
      </w:r>
    </w:p>
    <w:p>
      <w:pPr>
        <w:spacing w:after="160"/>
        <w:jc w:val="center"/>
      </w:pPr>
      <w:r>
        <w:rPr>
          <w:i/>
          <w:iCs/>
          <w:sz w:val="24"/>
          <w:szCs w:val="24"/>
        </w:rPr>
        <w:t xml:space="preserve">Hình 2.8: Các nhóm thực thể trong lược đồ cơ sở dữ liệu của hệ thống AlumVerse 2024</w:t>
      </w:r>
    </w:p>
    <w:p>
      <w:pPr>
        <w:pStyle w:val="Heading3"/>
        <w:spacing w:after="100" w:before="200"/>
      </w:pPr>
      <w:r>
        <w:rPr>
          <w:b/>
          <w:bCs/>
          <w:sz w:val="26"/>
          <w:szCs w:val="26"/>
        </w:rPr>
        <w:t xml:space="preserve">2.4.3. Nợ kỹ thuật và hạn chế vận hành</w:t>
      </w:r>
    </w:p>
    <w:p>
      <w:pPr>
        <w:spacing w:after="120" w:line="360"/>
        <w:ind w:firstLine="567"/>
        <w:jc w:val="both"/>
      </w:pPr>
      <w:r>
        <w:rPr>
          <w:sz w:val="26"/>
          <w:szCs w:val="26"/>
        </w:rPr>
        <w:t xml:space="preserve">Báo cáo 2024 [3] ghi nhận một số hạn chế đáng chú ý về mặt vận hành. Thời gian phản hồi của máy chủ khi triển khai trực tuyến khá chậm, mất khoảng sáu giây cho mỗi lượt gọi lấy danh sách, một phần do khó khăn trong việc triển khai kiến trúc Microservices và do phải chọn khu vực máy chủ ở xa. Hệ thống cũng chưa kịp triển khai kiểm thử tự động, và mới chỉ hỗ trợ nhắn tin cá nhân, chưa có nhắn tin nhóm.</w:t>
      </w:r>
    </w:p>
    <w:p>
      <w:pPr>
        <w:spacing w:after="120" w:line="360"/>
        <w:ind w:firstLine="567"/>
        <w:jc w:val="both"/>
      </w:pPr>
      <w:r>
        <w:rPr>
          <w:sz w:val="26"/>
          <w:szCs w:val="26"/>
        </w:rPr>
        <w:t xml:space="preserve">Những hạn chế này là động lực trực tiếp cho hai trụ cột tái thiết kế kỹ thuật và cải tiến nghiệp vụ của phiên bản 2026. Cần lưu ý rằng nhóm không tiếp nhận mã nguồn của phiên bản 2024, nên các số liệu nêu trên được trích dẫn từ báo cáo của khóa trước chứ không phải kết quả đo lại của nhóm.</w:t>
      </w:r>
    </w:p>
    <w:p>
      <w:pPr>
        <w:pStyle w:val="Heading3"/>
        <w:spacing w:after="100" w:before="200"/>
      </w:pPr>
      <w:r>
        <w:rPr>
          <w:b/>
          <w:bCs/>
          <w:sz w:val="26"/>
          <w:szCs w:val="26"/>
        </w:rPr>
        <w:t xml:space="preserve">2.4.4. Tính năng kế thừa và loại bỏ có chủ đích</w:t>
      </w:r>
    </w:p>
    <w:p>
      <w:pPr>
        <w:spacing w:after="120" w:line="360"/>
        <w:ind w:firstLine="567"/>
        <w:jc w:val="both"/>
      </w:pPr>
      <w:r>
        <w:rPr>
          <w:sz w:val="26"/>
          <w:szCs w:val="26"/>
        </w:rPr>
        <w:t xml:space="preserve">Phiên bản 2026 kế thừa các luồng đã được kiểm chứng của bản 2024, như tin tức, sự kiện, nhắn tin và xác minh cựu sinh viên, đồng thời thực hiện một số thay đổi có chủ đích.</w:t>
      </w:r>
    </w:p>
    <w:p>
      <w:pPr>
        <w:spacing w:after="120" w:line="360"/>
        <w:ind w:firstLine="567"/>
        <w:jc w:val="both"/>
      </w:pPr>
      <w:r>
        <w:rPr>
          <w:sz w:val="26"/>
          <w:szCs w:val="26"/>
        </w:rPr>
        <w:t xml:space="preserve">Tính năng nhóm cộng đồng kèm bài đăng của bản 2024 được thay bằng diễn đàn có cấu trúc kết hợp mạng lưới kết nối. Cơ chế tạo và chỉnh sửa vai trò linh hoạt qua giao diện được thay bằng tập vai trò cố định gắn với định danh tổ chức; ở quy mô một nền tảng cựu sinh viên, tệp người dùng là cố định nên đây là lựa chọn giúp giảm độ phức tạp và tăng tốc độ truy vấn, chứ không phải một thiếu sót về phạm vi. Cơ chế thông báo đẩy qua dịch vụ ngoài cũng được điều chỉnh thành thông báo trong ứng dụng.</w:t>
      </w:r>
    </w:p>
    <w:p>
      <w:pPr>
        <w:pStyle w:val="Heading2"/>
        <w:spacing w:after="120" w:before="260"/>
      </w:pPr>
      <w:r>
        <w:rPr>
          <w:b/>
          <w:bCs/>
          <w:sz w:val="28"/>
          <w:szCs w:val="28"/>
        </w:rPr>
        <w:t xml:space="preserve">2.5. Khoảng trống và đề xuất định hướng giải pháp</w:t>
      </w:r>
    </w:p>
    <w:p>
      <w:pPr>
        <w:spacing w:after="120" w:line="360"/>
        <w:ind w:firstLine="567"/>
        <w:jc w:val="both"/>
      </w:pPr>
      <w:r>
        <w:rPr>
          <w:sz w:val="26"/>
          <w:szCs w:val="26"/>
        </w:rPr>
        <w:t xml:space="preserve">Tổng hợp từ phân tích nhu cầu người dùng, khảo sát các hệ thống liên quan và phân tích hiện trạng bản 2024, nhóm xác định bốn định hướng cho phiên bản 2026.</w:t>
      </w:r>
    </w:p>
    <w:p>
      <w:pPr>
        <w:spacing w:after="120" w:line="360"/>
        <w:ind w:firstLine="567"/>
        <w:jc w:val="both"/>
      </w:pPr>
      <w:r>
        <w:rPr>
          <w:sz w:val="26"/>
          <w:szCs w:val="26"/>
        </w:rPr>
        <w:t xml:space="preserve">Thứ nhất, giữ lại và hoàn thiện các luồng nghiệp vụ đã được kiểm chứng.</w:t>
      </w:r>
    </w:p>
    <w:p>
      <w:pPr>
        <w:spacing w:after="120" w:line="360"/>
        <w:ind w:firstLine="567"/>
        <w:jc w:val="both"/>
      </w:pPr>
      <w:r>
        <w:rPr>
          <w:sz w:val="26"/>
          <w:szCs w:val="26"/>
        </w:rPr>
        <w:t xml:space="preserve">Thứ hai, đơn giản hóa kiến trúc triển khai để giảm chi phí vận hành, thông qua việc chuyển sang kiến trúc Modular Monolith kết hợp Layered trên nền Reactive Programming.</w:t>
      </w:r>
    </w:p>
    <w:p>
      <w:pPr>
        <w:spacing w:after="120" w:line="360"/>
        <w:ind w:firstLine="567"/>
        <w:jc w:val="both"/>
      </w:pPr>
      <w:r>
        <w:rPr>
          <w:sz w:val="26"/>
          <w:szCs w:val="26"/>
        </w:rPr>
        <w:t xml:space="preserve">Thứ ba, bổ sung các nhóm tính năng tạo giá trị thực, gồm cố vấn có cấu trúc, cơ hội học tập và việc làm, gây quỹ minh bạch, diễn đàn nghề nghiệp, khảo sát và thống kê việc làm, trợ lý ảo, cùng mô hình Multi-tenant cho phép mỗi đơn vị có một cổng kết nối riêng.</w:t>
      </w:r>
    </w:p>
    <w:p>
      <w:pPr>
        <w:spacing w:after="120" w:line="360"/>
        <w:ind w:firstLine="567"/>
        <w:jc w:val="both"/>
      </w:pPr>
      <w:r>
        <w:rPr>
          <w:sz w:val="26"/>
          <w:szCs w:val="26"/>
        </w:rPr>
        <w:t xml:space="preserve">Thứ tư, chuẩn hóa danh mục tính năng để làm căn cứ thống nhất cho việc phân tích yêu cầu, phân công công việc và đánh giá mức độ hoàn thành.</w:t>
      </w:r>
    </w:p>
    <w:p>
      <w:pPr>
        <w:spacing w:after="120" w:line="360"/>
        <w:ind w:firstLine="567"/>
        <w:jc w:val="both"/>
      </w:pPr>
      <w:r>
        <w:rPr>
          <w:sz w:val="26"/>
          <w:szCs w:val="26"/>
        </w:rPr>
        <w:t xml:space="preserve">Danh mục tính năng của phiên bản 2026 gồm khoảng 105 tính năng thuộc 14 nhóm tính năng, bao trùm cả các luồng kế thừa lẫn các nhóm tính năng mới. Bảng 2.5 tóm tắt các nhóm tính năng mới cùng nguồn tham khảo và trạng thái hiện thực. Phần minh họa giao diện và chi tiết triển khai được trình bày trong Chương 3 và Chương 4, còn số liệu đánh giá mức độ hoàn thành được trình bày trong Chương 5.</w:t>
      </w:r>
    </w:p>
    <w:p>
      <w:pPr>
        <w:pBdr>
          <w:top w:val="dashed" w:color="B0B0B0" w:sz="6" w:space="6"/>
          <w:bottom w:val="dashed" w:color="B0B0B0" w:sz="6" w:space="6"/>
          <w:left w:val="dashed" w:color="B0B0B0" w:sz="6" w:space="6"/>
          <w:right w:val="dashed" w:color="B0B0B0" w:sz="6" w:space="6"/>
        </w:pBdr>
        <w:shd w:fill="F7F7F7" w:val="clear"/>
        <w:spacing w:after="120" w:before="120"/>
        <w:jc w:val="center"/>
      </w:pPr>
      <w:r>
        <w:rPr>
          <w:b/>
          <w:bCs/>
          <w:color w:val="9C2A00"/>
          <w:sz w:val="22"/>
          <w:szCs w:val="22"/>
        </w:rPr>
        <w:t xml:space="preserve">[BẢNG 2.5]  </w:t>
      </w:r>
      <w:r>
        <w:rPr>
          <w:i/>
          <w:iCs/>
          <w:color w:val="9C2A00"/>
          <w:sz w:val="22"/>
          <w:szCs w:val="22"/>
        </w:rPr>
        <w:t xml:space="preserve">Các nhóm tính năng mới của AlumVerse 2026, nguồn tham khảo và trạng thái hiện thực. Lấy dữ liệu từ tệp theo dõi tính năng.</w:t>
      </w:r>
    </w:p>
    <w:p>
      <w:pPr>
        <w:spacing w:after="160"/>
        <w:jc w:val="center"/>
      </w:pPr>
      <w:r>
        <w:rPr>
          <w:i/>
          <w:iCs/>
          <w:sz w:val="24"/>
          <w:szCs w:val="24"/>
        </w:rPr>
        <w:t xml:space="preserve">Bảng 2.5: Các nhóm tính năng mới của AlumVerse 2026, nguồn tham khảo và trạng thái hiện thực</w:t>
      </w:r>
    </w:p>
    <w:p>
      <w:pPr>
        <w:spacing w:after="120" w:line="360"/>
        <w:ind w:firstLine="567"/>
        <w:jc w:val="both"/>
      </w:pPr>
      <w:r>
        <w:rPr>
          <w:sz w:val="26"/>
          <w:szCs w:val="26"/>
        </w:rPr>
        <w:t xml:space="preserve">Định hướng đơn giản hóa kiến trúc không chỉ dừng ở cách tổ chức mã nguồn, mà còn đi kèm các thực hành bảo đảm chất lượng như kiểm thử tự động cho tầng nghiệp vụ, tích hợp và triển khai liên tục, cùng giám sát vận hành. Các nội dung này được trình bày ở Chương 4 và Chương 5.</w:t>
      </w:r>
    </w:p>
    <w:p>
      <w:pPr>
        <w:spacing w:after="120" w:line="360"/>
        <w:ind w:firstLine="567"/>
        <w:jc w:val="both"/>
      </w:pPr>
      <w:r>
        <w:rPr>
          <w:sz w:val="26"/>
          <w:szCs w:val="26"/>
        </w:rPr>
        <w:t xml:space="preserve">Nhìn tổng thể, AlumVerse ưu tiên tối đa hóa lợi ích thiết thực trong từng lần truy cập của người dùng thay vì cố gắng mô phỏng mức độ tương tác bề mặt của các nền tảng mạng xã hội đại chúng. Những định hướng chiến lược này đóng vai trò kim chỉ nam và sẽ được đặc tả thành các yêu cầu hệ thống chi tiết trong chương tiếp theo.</w:t>
      </w:r>
    </w:p>
    <w:p>
      <w:pPr>
        <w:pageBreakBefore/>
        <w:spacing w:after="120"/>
      </w:pPr>
      <w:r>
        <w:rPr>
          <w:b/>
          <w:bCs/>
          <w:color w:val="9C2A00"/>
          <w:sz w:val="26"/>
          <w:szCs w:val="26"/>
        </w:rPr>
        <w:t xml:space="preserve">GHI CHÚ BIÊN TẬP (xóa trước khi nộp)</w:t>
      </w:r>
    </w:p>
    <w:p>
      <w:pPr>
        <w:pStyle w:val="ListParagraph"/>
        <w:numPr>
          <w:ilvl w:val="0"/>
          <w:numId w:val="1"/>
        </w:numPr>
        <w:spacing w:after="60"/>
      </w:pPr>
      <w:r>
        <w:rPr>
          <w:sz w:val="21"/>
          <w:szCs w:val="21"/>
        </w:rPr>
        <w:t xml:space="preserve">Đã gộp heading trùng: bản cũ có hai mục 2.1.1 (Tái cấu trúc và nợ kỹ thuật / Tái thiết kế và xử lý nợ kỹ thuật), nay còn một.</w:t>
      </w:r>
    </w:p>
    <w:p>
      <w:pPr>
        <w:pStyle w:val="ListParagraph"/>
        <w:numPr>
          <w:ilvl w:val="0"/>
          <w:numId w:val="1"/>
        </w:numPr>
        <w:spacing w:after="60"/>
      </w:pPr>
      <w:r>
        <w:rPr>
          <w:sz w:val="21"/>
          <w:szCs w:val="21"/>
        </w:rPr>
        <w:t xml:space="preserve">Đã đánh số lại toàn bộ Hình và Bảng của chương. Bản cũ bị trùng: Hình 2.3 dùng cho cả ADPList lẫn biểu đồ khảo sát; Hình 2.4 dùng cho cả Mentori.vn lẫn sơ đồ Microservices 2024; Hình 2.5 dùng cho cả nền tảng gây quỹ lẫn lược đồ 2024; Bảng 2.3 dùng cho cả ánh xạ cố vấn lẫn tỉ lệ tương tác; Bảng 2.4 và 2.5 cũng trùng tương tự.</w:t>
      </w:r>
    </w:p>
    <w:p>
      <w:pPr>
        <w:pStyle w:val="ListParagraph"/>
        <w:numPr>
          <w:ilvl w:val="0"/>
          <w:numId w:val="1"/>
        </w:numPr>
        <w:spacing w:after="60"/>
      </w:pPr>
      <w:r>
        <w:rPr>
          <w:sz w:val="21"/>
          <w:szCs w:val="21"/>
        </w:rPr>
        <w:t xml:space="preserve">Đã sửa tham chiếu chéo sai ở mục 2.3.2: bản cũ ghi (Hình 2.2, Hình 2.3) cho Mentori.vn và ADPList, đúng phải là (Hình 2.3, Hình 2.4).</w:t>
      </w:r>
    </w:p>
    <w:p>
      <w:pPr>
        <w:pStyle w:val="ListParagraph"/>
        <w:numPr>
          <w:ilvl w:val="0"/>
          <w:numId w:val="1"/>
        </w:numPr>
        <w:spacing w:after="60"/>
      </w:pPr>
      <w:r>
        <w:rPr>
          <w:sz w:val="21"/>
          <w:szCs w:val="21"/>
        </w:rPr>
        <w:t xml:space="preserve">Đã tách trích dẫn [16] bị dùng cho hai nguồn khác nhau: giữ [16] cho hoạt động cựu sinh viên FIT@HCMUS, chuyển khảo sát 3.000 sinh viên sang [17]. Cần bổ sung mục [17] vào danh mục tài liệu tham khảo và xác nhận nguồn gốc số liệu này.</w:t>
      </w:r>
    </w:p>
    <w:p>
      <w:pPr>
        <w:pStyle w:val="ListParagraph"/>
        <w:numPr>
          <w:ilvl w:val="0"/>
          <w:numId w:val="1"/>
        </w:numPr>
        <w:spacing w:after="60"/>
      </w:pPr>
      <w:r>
        <w:rPr>
          <w:sz w:val="21"/>
          <w:szCs w:val="21"/>
        </w:rPr>
        <w:t xml:space="preserve">Đã thêm [18] cho tài liệu nền của RAG. Đề xuất: P. Lewis và cộng sự, Retrieval-Augmented Generation for Knowledge-Intensive NLP Tasks, NeurIPS 2020. Cần kiểm tra lại thông tin thư mục trước khi đưa vào danh mục.</w:t>
      </w:r>
    </w:p>
    <w:p>
      <w:pPr>
        <w:pStyle w:val="ListParagraph"/>
        <w:numPr>
          <w:ilvl w:val="0"/>
          <w:numId w:val="1"/>
        </w:numPr>
        <w:spacing w:after="60"/>
      </w:pPr>
      <w:r>
        <w:rPr>
          <w:sz w:val="21"/>
          <w:szCs w:val="21"/>
        </w:rPr>
        <w:t xml:space="preserve">Đã gộp năm bảng ánh xạ riêng lẻ (Bảng 2.3 đến 2.7 của bản cũ) thành một Bảng 2.2 duy nhất, và gộp ba ảnh nền tảng tham chiếu thành một Hình 2.6 dạng lưới. Mục đích là giữ chương trong ngân sách 14 trang.</w:t>
      </w:r>
    </w:p>
    <w:p>
      <w:pPr>
        <w:pStyle w:val="ListParagraph"/>
        <w:numPr>
          <w:ilvl w:val="0"/>
          <w:numId w:val="1"/>
        </w:numPr>
        <w:spacing w:after="60"/>
      </w:pPr>
      <w:r>
        <w:rPr>
          <w:sz w:val="21"/>
          <w:szCs w:val="21"/>
        </w:rPr>
        <w:t xml:space="preserve">Đã sửa mô tả multi-tenant ở mục 2.1.4: nhận diện tổ chức qua đường dẫn riêng (alumverse.hcmus.edu.vn/fit) thay vì slug hoặc tên miền phụ, cho khớp với hiện thực.</w:t>
      </w:r>
    </w:p>
    <w:p>
      <w:pPr>
        <w:pStyle w:val="ListParagraph"/>
        <w:numPr>
          <w:ilvl w:val="0"/>
          <w:numId w:val="1"/>
        </w:numPr>
        <w:spacing w:after="60"/>
      </w:pPr>
      <w:r>
        <w:rPr>
          <w:sz w:val="21"/>
          <w:szCs w:val="21"/>
        </w:rPr>
        <w:t xml:space="preserve">Đã bỏ lối viết tiếng Việt kèm chú thích tiếng Anh trong ngoặc theo quy ước văn phong của nhóm.</w:t>
      </w:r>
    </w:p>
    <w:p>
      <w:pPr>
        <w:pStyle w:val="ListParagraph"/>
        <w:numPr>
          <w:ilvl w:val="0"/>
          <w:numId w:val="1"/>
        </w:numPr>
        <w:spacing w:after="60"/>
      </w:pPr>
      <w:r>
        <w:rPr>
          <w:sz w:val="21"/>
          <w:szCs w:val="21"/>
        </w:rPr>
        <w:t xml:space="preserve">Đã bổ sung liên kết giữa mục 2.2.2 (nghĩa vụ báo cáo việc làm theo quy định của Bộ) và module khảo sát, vì phân hệ Survey trước đây bị thiếu trong danh mục tính năng.</w:t>
      </w:r>
    </w:p>
    <w:p>
      <w:pPr>
        <w:pStyle w:val="ListParagraph"/>
        <w:numPr>
          <w:ilvl w:val="0"/>
          <w:numId w:val="1"/>
        </w:numPr>
        <w:spacing w:after="60"/>
      </w:pPr>
      <w:r>
        <w:rPr>
          <w:sz w:val="21"/>
          <w:szCs w:val="21"/>
        </w:rPr>
        <w:t xml:space="preserve">Cần thống nhất về sau: báo cáo nói 14 nhóm tính năng, trong khi mã nguồn tổ chức thành 13 module. Đây là hai cách phân nhóm khác nhau, nên nói rõ ở Chương 3 để tránh bị hỏi.</w:t>
      </w:r>
    </w:p>
    <w:p>
      <w:pPr>
        <w:pStyle w:val="ListParagraph"/>
        <w:numPr>
          <w:ilvl w:val="0"/>
          <w:numId w:val="1"/>
        </w:numPr>
        <w:spacing w:after="60"/>
      </w:pPr>
      <w:r>
        <w:rPr>
          <w:sz w:val="21"/>
          <w:szCs w:val="21"/>
        </w:rPr>
        <w:t xml:space="preserve">Sửa lỗi chính tả của bản cũ: Cơ trúc thành cấu trúc; thuần tuý thành thuần túy.</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2026-07-19T12:03:18.172Z</dcterms:created>
  <dcterms:modified xsi:type="dcterms:W3CDTF">2026-07-19T12:03:18.174Z</dcterms:modified>
</cp:coreProperties>
</file>

<file path=docProps/custom.xml><?xml version="1.0" encoding="utf-8"?>
<Properties xmlns="http://schemas.openxmlformats.org/officeDocument/2006/custom-properties" xmlns:vt="http://schemas.openxmlformats.org/officeDocument/2006/docPropsVTypes"/>
</file>