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120"/>
        <w:jc w:val="center"/>
        <w:rPr/>
      </w:pPr>
      <w:r>
        <w:rPr>
          <w:b/>
          <w:bCs/>
          <w:sz w:val="26"/>
          <w:szCs w:val="26"/>
        </w:rPr>
        <w:t>HỌC VIỆN CÔNG NGHỆ BƯU CHÍNH VIỄN THÔNG</w:t>
      </w:r>
    </w:p>
    <w:p>
      <w:pPr>
        <w:pStyle w:val="Normal"/>
        <w:spacing w:before="0" w:after="120"/>
        <w:jc w:val="center"/>
        <w:rPr/>
      </w:pPr>
      <w:r>
        <w:rPr>
          <w:b/>
          <w:bCs/>
          <w:color w:val="1F3864"/>
          <w:sz w:val="36"/>
          <w:szCs w:val="36"/>
        </w:rPr>
        <w:t>KẾ HOẠCH TỔ CHỨC</w:t>
      </w:r>
    </w:p>
    <w:p>
      <w:pPr>
        <w:pStyle w:val="Normal"/>
        <w:spacing w:before="0" w:after="360"/>
        <w:jc w:val="center"/>
        <w:rPr/>
      </w:pPr>
      <w:r>
        <w:rPr>
          <w:b/>
          <w:bCs/>
          <w:color w:val="1F3864"/>
          <w:sz w:val="32"/>
          <w:szCs w:val="32"/>
        </w:rPr>
        <w:t>HỘI NGHỊ KHOA HỌC SINH VIÊN PTIT 2027</w:t>
      </w:r>
    </w:p>
    <w:p>
      <w:pPr>
        <w:pStyle w:val="Normal"/>
        <w:spacing w:before="0" w:after="240"/>
        <w:jc w:val="center"/>
        <w:rPr/>
      </w:pPr>
      <w:r>
        <w:rPr>
          <w:b/>
          <w:bCs/>
          <w:sz w:val="28"/>
          <w:szCs w:val="28"/>
        </w:rPr>
        <w:t>MỤC LỤC</w:t>
      </w:r>
    </w:p>
    <w:sdt>
      <w:sdtPr>
        <w:docPartObj>
          <w:docPartGallery w:val="Table of Contents"/>
          <w:docPartUnique w:val="true"/>
        </w:docPartObj>
      </w:sdtPr>
      <w:sdtContent>
        <w:p>
          <w:pPr>
            <w:pStyle w:val="TOC1"/>
            <w:tabs>
              <w:tab w:val="clear" w:pos="9106"/>
              <w:tab w:val="right" w:pos="9105" w:leader="dot"/>
            </w:tabs>
            <w:rPr/>
          </w:pPr>
          <w:r>
            <w:fldChar w:fldCharType="begin"/>
          </w:r>
          <w:r>
            <w:rPr>
              <w:rStyle w:val="IndexLink"/>
            </w:rPr>
            <w:instrText xml:space="preserve"> TOC \o "1-3" \h</w:instrText>
          </w:r>
          <w:r>
            <w:rPr>
              <w:rStyle w:val="IndexLink"/>
            </w:rPr>
            <w:fldChar w:fldCharType="separate"/>
          </w:r>
          <w:hyperlink w:anchor="__RefHeading___Toc296_1395854570">
            <w:r>
              <w:rPr>
                <w:rStyle w:val="IndexLink"/>
              </w:rPr>
              <w:t>1. Giới thiệu hội nghị</w:t>
              <w:tab/>
              <w:t>2</w:t>
            </w:r>
          </w:hyperlink>
        </w:p>
        <w:p>
          <w:pPr>
            <w:pStyle w:val="TOC2"/>
            <w:tabs>
              <w:tab w:val="clear" w:pos="8823"/>
              <w:tab w:val="right" w:pos="9105" w:leader="dot"/>
            </w:tabs>
            <w:rPr/>
          </w:pPr>
          <w:hyperlink w:anchor="__RefHeading___Toc298_1395854570">
            <w:r>
              <w:rPr>
                <w:rStyle w:val="IndexLink"/>
              </w:rPr>
              <w:t>1.1. Mục tiêu</w:t>
              <w:tab/>
              <w:t>2</w:t>
            </w:r>
          </w:hyperlink>
        </w:p>
        <w:p>
          <w:pPr>
            <w:pStyle w:val="TOC2"/>
            <w:tabs>
              <w:tab w:val="clear" w:pos="8823"/>
              <w:tab w:val="right" w:pos="9105" w:leader="dot"/>
            </w:tabs>
            <w:rPr/>
          </w:pPr>
          <w:hyperlink w:anchor="__RefHeading___Toc300_1395854570">
            <w:r>
              <w:rPr>
                <w:rStyle w:val="IndexLink"/>
              </w:rPr>
              <w:t>1.2. Thời gian và địa điểm</w:t>
              <w:tab/>
              <w:t>2</w:t>
            </w:r>
          </w:hyperlink>
        </w:p>
        <w:p>
          <w:pPr>
            <w:pStyle w:val="TOC2"/>
            <w:tabs>
              <w:tab w:val="clear" w:pos="8823"/>
              <w:tab w:val="right" w:pos="9105" w:leader="dot"/>
            </w:tabs>
            <w:rPr/>
          </w:pPr>
          <w:hyperlink w:anchor="__RefHeading___Toc302_1395854570">
            <w:r>
              <w:rPr>
                <w:rStyle w:val="IndexLink"/>
              </w:rPr>
              <w:t>1.3. Quy mô và đối tượng tham dự</w:t>
              <w:tab/>
              <w:t>2</w:t>
            </w:r>
          </w:hyperlink>
        </w:p>
        <w:p>
          <w:pPr>
            <w:pStyle w:val="TOC1"/>
            <w:tabs>
              <w:tab w:val="clear" w:pos="9106"/>
              <w:tab w:val="right" w:pos="9105" w:leader="dot"/>
            </w:tabs>
            <w:rPr/>
          </w:pPr>
          <w:hyperlink w:anchor="__RefHeading___Toc304_1395854570">
            <w:r>
              <w:rPr>
                <w:rStyle w:val="IndexLink"/>
              </w:rPr>
              <w:t>2. Cơ cấu tổ chức</w:t>
              <w:tab/>
              <w:t>2</w:t>
            </w:r>
          </w:hyperlink>
        </w:p>
        <w:p>
          <w:pPr>
            <w:pStyle w:val="TOC2"/>
            <w:tabs>
              <w:tab w:val="clear" w:pos="8823"/>
              <w:tab w:val="right" w:pos="9105" w:leader="dot"/>
            </w:tabs>
            <w:rPr/>
          </w:pPr>
          <w:hyperlink w:anchor="__RefHeading___Toc306_1395854570">
            <w:r>
              <w:rPr>
                <w:rStyle w:val="IndexLink"/>
              </w:rPr>
              <w:t>2.1. Ban Chỉ đạo</w:t>
              <w:tab/>
              <w:t>2</w:t>
            </w:r>
          </w:hyperlink>
        </w:p>
        <w:p>
          <w:pPr>
            <w:pStyle w:val="TOC2"/>
            <w:tabs>
              <w:tab w:val="clear" w:pos="8823"/>
              <w:tab w:val="right" w:pos="9105" w:leader="dot"/>
            </w:tabs>
            <w:rPr/>
          </w:pPr>
          <w:hyperlink w:anchor="__RefHeading___Toc308_1395854570">
            <w:r>
              <w:rPr>
                <w:rStyle w:val="IndexLink"/>
              </w:rPr>
              <w:t>2.2. Ban Kỹ thuật</w:t>
              <w:tab/>
              <w:t>3</w:t>
            </w:r>
          </w:hyperlink>
        </w:p>
        <w:p>
          <w:pPr>
            <w:pStyle w:val="TOC3"/>
            <w:tabs>
              <w:tab w:val="clear" w:pos="8539"/>
              <w:tab w:val="right" w:pos="9105" w:leader="dot"/>
            </w:tabs>
            <w:rPr/>
          </w:pPr>
          <w:hyperlink w:anchor="__RefHeading___Toc310_1395854570">
            <w:r>
              <w:rPr>
                <w:rStyle w:val="IndexLink"/>
              </w:rPr>
              <w:t>2.2.1. Nhiệm vụ của Trưởng Ban Kỹ thuật</w:t>
              <w:tab/>
              <w:t>3</w:t>
            </w:r>
          </w:hyperlink>
        </w:p>
        <w:p>
          <w:pPr>
            <w:pStyle w:val="TOC3"/>
            <w:tabs>
              <w:tab w:val="clear" w:pos="8539"/>
              <w:tab w:val="right" w:pos="9105" w:leader="dot"/>
            </w:tabs>
            <w:rPr/>
          </w:pPr>
          <w:hyperlink w:anchor="__RefHeading___Toc312_1395854570">
            <w:r>
              <w:rPr>
                <w:rStyle w:val="IndexLink"/>
              </w:rPr>
              <w:t>2.2.2. Bộ hồ sơ kỹ thuật</w:t>
              <w:tab/>
              <w:t>3</w:t>
            </w:r>
          </w:hyperlink>
        </w:p>
        <w:p>
          <w:pPr>
            <w:pStyle w:val="TOC1"/>
            <w:tabs>
              <w:tab w:val="clear" w:pos="9106"/>
              <w:tab w:val="right" w:pos="9105" w:leader="dot"/>
            </w:tabs>
            <w:rPr/>
          </w:pPr>
          <w:hyperlink w:anchor="__RefHeading___Toc314_1395854570">
            <w:r>
              <w:rPr>
                <w:rStyle w:val="IndexLink"/>
              </w:rPr>
              <w:t>3. Lịch trình hội nghị</w:t>
              <w:tab/>
              <w:t>3</w:t>
            </w:r>
          </w:hyperlink>
        </w:p>
        <w:p>
          <w:pPr>
            <w:pStyle w:val="TOC2"/>
            <w:tabs>
              <w:tab w:val="clear" w:pos="8823"/>
              <w:tab w:val="right" w:pos="9105" w:leader="dot"/>
            </w:tabs>
            <w:rPr/>
          </w:pPr>
          <w:hyperlink w:anchor="__RefHeading___Toc316_1395854570">
            <w:r>
              <w:rPr>
                <w:rStyle w:val="IndexLink"/>
              </w:rPr>
              <w:t>3.1. Buổi sáng</w:t>
              <w:tab/>
              <w:t>3</w:t>
            </w:r>
          </w:hyperlink>
        </w:p>
        <w:p>
          <w:pPr>
            <w:pStyle w:val="TOC2"/>
            <w:tabs>
              <w:tab w:val="clear" w:pos="8823"/>
              <w:tab w:val="right" w:pos="9105" w:leader="dot"/>
            </w:tabs>
            <w:rPr/>
          </w:pPr>
          <w:hyperlink w:anchor="__RefHeading___Toc318_1395854570">
            <w:r>
              <w:rPr>
                <w:rStyle w:val="IndexLink"/>
              </w:rPr>
              <w:t>3.2. Buổi chiều</w:t>
              <w:tab/>
              <w:t>3</w:t>
            </w:r>
          </w:hyperlink>
        </w:p>
        <w:p>
          <w:pPr>
            <w:pStyle w:val="TOC1"/>
            <w:tabs>
              <w:tab w:val="clear" w:pos="9106"/>
              <w:tab w:val="right" w:pos="9105" w:leader="dot"/>
            </w:tabs>
            <w:rPr/>
          </w:pPr>
          <w:hyperlink w:anchor="__RefHeading___Toc320_1395854570">
            <w:r>
              <w:rPr>
                <w:rStyle w:val="IndexLink"/>
              </w:rPr>
              <w:t>4. Cơ cấu giải thưởng</w:t>
              <w:tab/>
              <w:t>4</w:t>
            </w:r>
          </w:hyperlink>
        </w:p>
        <w:p>
          <w:pPr>
            <w:pStyle w:val="TOC2"/>
            <w:tabs>
              <w:tab w:val="clear" w:pos="8823"/>
              <w:tab w:val="right" w:pos="9105" w:leader="dot"/>
            </w:tabs>
            <w:rPr/>
          </w:pPr>
          <w:hyperlink w:anchor="__RefHeading___Toc322_1395854570">
            <w:r>
              <w:rPr>
                <w:rStyle w:val="IndexLink"/>
              </w:rPr>
              <w:t>4.1. Các giải thưởng</w:t>
              <w:tab/>
              <w:t>4</w:t>
            </w:r>
          </w:hyperlink>
        </w:p>
        <w:p>
          <w:pPr>
            <w:pStyle w:val="TOC2"/>
            <w:tabs>
              <w:tab w:val="clear" w:pos="8823"/>
              <w:tab w:val="right" w:pos="9105" w:leader="dot"/>
            </w:tabs>
            <w:rPr/>
          </w:pPr>
          <w:hyperlink w:anchor="__RefHeading___Toc324_1395854570">
            <w:r>
              <w:rPr>
                <w:rStyle w:val="IndexLink"/>
              </w:rPr>
              <w:t>4.2. Tiêu chí chấm điểm</w:t>
              <w:tab/>
              <w:t>4</w:t>
            </w:r>
          </w:hyperlink>
        </w:p>
        <w:p>
          <w:pPr>
            <w:pStyle w:val="TOC1"/>
            <w:tabs>
              <w:tab w:val="clear" w:pos="9106"/>
              <w:tab w:val="right" w:pos="9105" w:leader="dot"/>
            </w:tabs>
            <w:rPr/>
          </w:pPr>
          <w:hyperlink w:anchor="__RefHeading___Toc326_1395854570">
            <w:r>
              <w:rPr>
                <w:rStyle w:val="IndexLink"/>
              </w:rPr>
              <w:t>5. Quy chế hội nghị</w:t>
              <w:tab/>
              <w:t>4</w:t>
            </w:r>
          </w:hyperlink>
        </w:p>
        <w:p>
          <w:pPr>
            <w:pStyle w:val="TOC2"/>
            <w:tabs>
              <w:tab w:val="clear" w:pos="8823"/>
              <w:tab w:val="right" w:pos="9105" w:leader="dot"/>
            </w:tabs>
            <w:rPr/>
          </w:pPr>
          <w:hyperlink w:anchor="__RefHeading___Toc328_1395854570">
            <w:r>
              <w:rPr>
                <w:rStyle w:val="IndexLink"/>
              </w:rPr>
              <w:t>5.1. Quy định đối với báo cáo viên</w:t>
              <w:tab/>
              <w:t>4</w:t>
            </w:r>
          </w:hyperlink>
        </w:p>
        <w:p>
          <w:pPr>
            <w:pStyle w:val="TOC2"/>
            <w:tabs>
              <w:tab w:val="clear" w:pos="8823"/>
              <w:tab w:val="right" w:pos="9105" w:leader="dot"/>
            </w:tabs>
            <w:rPr/>
          </w:pPr>
          <w:hyperlink w:anchor="__RefHeading___Toc330_1395854570">
            <w:r>
              <w:rPr>
                <w:rStyle w:val="IndexLink"/>
              </w:rPr>
              <w:t>5.2. Quy định đối với Ban giám khảo</w:t>
              <w:tab/>
              <w:t>4</w:t>
            </w:r>
          </w:hyperlink>
        </w:p>
        <w:p>
          <w:pPr>
            <w:pStyle w:val="TOC2"/>
            <w:tabs>
              <w:tab w:val="clear" w:pos="8823"/>
              <w:tab w:val="right" w:pos="9105" w:leader="dot"/>
            </w:tabs>
            <w:rPr/>
          </w:pPr>
          <w:hyperlink w:anchor="__RefHeading___Toc332_1395854570">
            <w:r>
              <w:rPr>
                <w:rStyle w:val="IndexLink"/>
              </w:rPr>
              <w:t>5.3. Quy định đối với người tham dự</w:t>
              <w:tab/>
              <w:t>4</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296_1395854570"/>
      <w:bookmarkEnd w:id="0"/>
      <w:r>
        <w:rPr/>
        <w:t>1. Giới thiệu hội nghị</w:t>
      </w:r>
    </w:p>
    <w:p>
      <w:pPr>
        <w:pStyle w:val="Normal"/>
        <w:spacing w:lineRule="exact" w:line="300" w:before="0" w:after="120"/>
        <w:rPr/>
      </w:pPr>
      <w:r>
        <w:rPr/>
        <w:t>Hội nghị Khoa học Sinh viên PTIT 2027 là diễn đàn thường niên để sinh viên trình bày kết quả nghiên cứu và sản phẩm công nghệ trước hội đồng giám khảo và cộng đồng học thuật của Học viện. Tài liệu này là bản kế hoạch dành cho ban giám khảo đọc trước ngày hội nghị.</w:t>
      </w:r>
    </w:p>
    <w:p>
      <w:pPr>
        <w:pStyle w:val="Heading2"/>
        <w:rPr/>
      </w:pPr>
      <w:bookmarkStart w:id="1" w:name="__RefHeading___Toc298_1395854570"/>
      <w:bookmarkEnd w:id="1"/>
      <w:r>
        <w:rPr/>
        <w:t>1.1. Mục tiêu</w:t>
      </w:r>
    </w:p>
    <w:p>
      <w:pPr>
        <w:pStyle w:val="Normal"/>
        <w:spacing w:lineRule="exact" w:line="300" w:before="0" w:after="120"/>
        <w:rPr/>
      </w:pPr>
      <w:r>
        <w:rPr/>
        <w:t>Hội nghị nhằm khuyến khích hoạt động nghiên cứu trong sinh viên, tạo môi trường trao đổi giữa các khoa và kết nối sinh viên với chuyên gia từ doanh nghiệp, viện nghiên cứu.</w:t>
      </w:r>
    </w:p>
    <w:p>
      <w:pPr>
        <w:pStyle w:val="Heading2"/>
        <w:rPr/>
      </w:pPr>
      <w:bookmarkStart w:id="2" w:name="__RefHeading___Toc300_1395854570"/>
      <w:bookmarkEnd w:id="2"/>
      <w:r>
        <w:rPr/>
        <w:t>1.2. Thời gian và địa điểm</w:t>
      </w:r>
    </w:p>
    <w:p>
      <w:pPr>
        <w:pStyle w:val="Normal"/>
        <w:spacing w:lineRule="exact" w:line="300" w:before="0" w:after="120"/>
        <w:rPr/>
      </w:pPr>
      <w:r>
        <w:rPr/>
        <w:t>Hội nghị diễn ra trong một ngày, Thứ Bảy 22/05/2027, tại Học viện Công nghệ Bưu chính Viễn thông, cơ sở Hà Đông, Hà Nội. Phiên khai mạc và bế mạc tổ chức tại Hội trường A (sức chứa 500 chỗ); các phiên báo cáo song song tổ chức tại bốn phòng P.A101, P.A102, P.B201, P.B202.</w:t>
      </w:r>
    </w:p>
    <w:p>
      <w:pPr>
        <w:pStyle w:val="Heading2"/>
        <w:rPr/>
      </w:pPr>
      <w:bookmarkStart w:id="3" w:name="__RefHeading___Toc302_1395854570"/>
      <w:bookmarkEnd w:id="3"/>
      <w:r>
        <w:rPr/>
        <w:t>1.3. Quy mô và đối tượng tham dự</w:t>
      </w:r>
    </w:p>
    <w:p>
      <w:pPr>
        <w:pStyle w:val="Normal"/>
        <w:spacing w:lineRule="exact" w:line="300" w:before="0" w:after="120"/>
        <w:rPr/>
      </w:pPr>
      <w:r>
        <w:rPr/>
        <w:t>Hội nghị có 30 báo cáo, trong đó 25 báo cáo của sinh viên thuộc 6 khoa và 5 báo cáo của khách mời. Số liệu dưới đây được trích từ bảng theo dõi báo cáo viên (file Excel DanhSachBaoCao_PTIT2027.xlsx).</w:t>
      </w:r>
    </w:p>
    <w:tbl>
      <w:tblPr>
        <w:tblW w:w="9000" w:type="dxa"/>
        <w:jc w:val="left"/>
        <w:tblInd w:w="0" w:type="dxa"/>
        <w:tblLayout w:type="fixed"/>
        <w:tblCellMar>
          <w:top w:w="60" w:type="dxa"/>
          <w:left w:w="100" w:type="dxa"/>
          <w:bottom w:w="60" w:type="dxa"/>
          <w:right w:w="100" w:type="dxa"/>
        </w:tblCellMar>
      </w:tblPr>
      <w:tblGrid>
        <w:gridCol w:w="3200"/>
        <w:gridCol w:w="2000"/>
        <w:gridCol w:w="3800"/>
      </w:tblGrid>
      <w:tr>
        <w:trPr>
          <w:tblHeader w:val="true"/>
        </w:trPr>
        <w:tc>
          <w:tcPr>
            <w:tcW w:w="3200"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Khoa / nhóm</w:t>
            </w:r>
          </w:p>
        </w:tc>
        <w:tc>
          <w:tcPr>
            <w:tcW w:w="2000"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Số báo cáo</w:t>
            </w:r>
          </w:p>
        </w:tc>
        <w:tc>
          <w:tcPr>
            <w:tcW w:w="3800"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Tổng thù lao (VNĐ)</w:t>
            </w:r>
          </w:p>
        </w:tc>
      </w:tr>
      <w:tr>
        <w:trPr>
          <w:cantSplit w:val="true"/>
        </w:trPr>
        <w:tc>
          <w:tcPr>
            <w:tcW w:w="3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CNTT</w:t>
            </w:r>
          </w:p>
        </w:tc>
        <w:tc>
          <w:tcPr>
            <w:tcW w:w="20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8</w:t>
            </w:r>
          </w:p>
        </w:tc>
        <w:tc>
          <w:tcPr>
            <w:tcW w:w="38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5.400.000</w:t>
            </w:r>
          </w:p>
        </w:tc>
      </w:tr>
      <w:tr>
        <w:trPr>
          <w:cantSplit w:val="true"/>
        </w:trPr>
        <w:tc>
          <w:tcPr>
            <w:tcW w:w="3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ATTT</w:t>
            </w:r>
          </w:p>
        </w:tc>
        <w:tc>
          <w:tcPr>
            <w:tcW w:w="20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5</w:t>
            </w:r>
          </w:p>
        </w:tc>
        <w:tc>
          <w:tcPr>
            <w:tcW w:w="38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2.500.000</w:t>
            </w:r>
          </w:p>
        </w:tc>
      </w:tr>
      <w:tr>
        <w:trPr>
          <w:cantSplit w:val="true"/>
        </w:trPr>
        <w:tc>
          <w:tcPr>
            <w:tcW w:w="3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Viễn thông</w:t>
            </w:r>
          </w:p>
        </w:tc>
        <w:tc>
          <w:tcPr>
            <w:tcW w:w="20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4</w:t>
            </w:r>
          </w:p>
        </w:tc>
        <w:tc>
          <w:tcPr>
            <w:tcW w:w="38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2.000.000</w:t>
            </w:r>
          </w:p>
        </w:tc>
      </w:tr>
      <w:tr>
        <w:trPr>
          <w:cantSplit w:val="true"/>
        </w:trPr>
        <w:tc>
          <w:tcPr>
            <w:tcW w:w="3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Điện tử</w:t>
            </w:r>
          </w:p>
        </w:tc>
        <w:tc>
          <w:tcPr>
            <w:tcW w:w="20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3</w:t>
            </w:r>
          </w:p>
        </w:tc>
        <w:tc>
          <w:tcPr>
            <w:tcW w:w="38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1.500.000</w:t>
            </w:r>
          </w:p>
        </w:tc>
      </w:tr>
      <w:tr>
        <w:trPr>
          <w:cantSplit w:val="true"/>
        </w:trPr>
        <w:tc>
          <w:tcPr>
            <w:tcW w:w="3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Đa phương tiện</w:t>
            </w:r>
          </w:p>
        </w:tc>
        <w:tc>
          <w:tcPr>
            <w:tcW w:w="20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3</w:t>
            </w:r>
          </w:p>
        </w:tc>
        <w:tc>
          <w:tcPr>
            <w:tcW w:w="38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1.500.000</w:t>
            </w:r>
          </w:p>
        </w:tc>
      </w:tr>
      <w:tr>
        <w:trPr>
          <w:cantSplit w:val="true"/>
        </w:trPr>
        <w:tc>
          <w:tcPr>
            <w:tcW w:w="3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QTKD</w:t>
            </w:r>
          </w:p>
        </w:tc>
        <w:tc>
          <w:tcPr>
            <w:tcW w:w="20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2</w:t>
            </w:r>
          </w:p>
        </w:tc>
        <w:tc>
          <w:tcPr>
            <w:tcW w:w="38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1.000.000</w:t>
            </w:r>
          </w:p>
        </w:tc>
      </w:tr>
      <w:tr>
        <w:trPr>
          <w:cantSplit w:val="true"/>
        </w:trPr>
        <w:tc>
          <w:tcPr>
            <w:tcW w:w="3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Khách mời</w:t>
            </w:r>
          </w:p>
        </w:tc>
        <w:tc>
          <w:tcPr>
            <w:tcW w:w="20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5</w:t>
            </w:r>
          </w:p>
        </w:tc>
        <w:tc>
          <w:tcPr>
            <w:tcW w:w="38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0</w:t>
            </w:r>
          </w:p>
        </w:tc>
      </w:tr>
      <w:tr>
        <w:trPr>
          <w:cantSplit w:val="true"/>
        </w:trPr>
        <w:tc>
          <w:tcPr>
            <w:tcW w:w="3200"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Tổng cộng</w:t>
            </w:r>
          </w:p>
        </w:tc>
        <w:tc>
          <w:tcPr>
            <w:tcW w:w="2000"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30</w:t>
            </w:r>
          </w:p>
        </w:tc>
        <w:tc>
          <w:tcPr>
            <w:tcW w:w="3800"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13.900.000</w:t>
            </w:r>
          </w:p>
        </w:tc>
      </w:tr>
    </w:tbl>
    <w:p>
      <w:pPr>
        <w:pStyle w:val="Normal"/>
        <w:spacing w:before="0" w:after="60"/>
        <w:rPr/>
      </w:pPr>
      <w:r>
        <w:rPr/>
      </w:r>
    </w:p>
    <w:p>
      <w:pPr>
        <w:pStyle w:val="Normal"/>
        <w:spacing w:lineRule="exact" w:line="300" w:before="0" w:after="120"/>
        <w:rPr/>
      </w:pPr>
      <w:r>
        <w:rPr/>
        <w:t>Đối tượng tham dự gồm sinh viên, giảng viên, đại diện doanh nghiệp và khách mời, dự kiến khoảng 500 người.</w:t>
      </w:r>
    </w:p>
    <w:p>
      <w:pPr>
        <w:pStyle w:val="Heading1"/>
        <w:rPr/>
      </w:pPr>
      <w:bookmarkStart w:id="4" w:name="__RefHeading___Toc304_1395854570"/>
      <w:bookmarkEnd w:id="4"/>
      <w:r>
        <w:rPr/>
        <w:t>2. Cơ cấu tổ chức</w:t>
      </w:r>
    </w:p>
    <w:p>
      <w:pPr>
        <w:pStyle w:val="Heading2"/>
        <w:rPr/>
      </w:pPr>
      <w:bookmarkStart w:id="5" w:name="__RefHeading___Toc306_1395854570"/>
      <w:bookmarkEnd w:id="5"/>
      <w:r>
        <w:rPr/>
        <w:t>2.1. Ban Chỉ đạo</w:t>
      </w:r>
    </w:p>
    <w:p>
      <w:pPr>
        <w:pStyle w:val="Normal"/>
        <w:spacing w:lineRule="exact" w:line="300" w:before="0" w:after="120"/>
        <w:rPr/>
      </w:pPr>
      <w:r>
        <w:rPr/>
        <w:t>Ban Chỉ đạo do lãnh đạo Học viện chủ trì, chịu trách nhiệm quyết định chủ đề, quy chế và cơ cấu giải thưởng của hội nghị.</w:t>
      </w:r>
    </w:p>
    <w:p>
      <w:pPr>
        <w:pStyle w:val="Heading2"/>
        <w:rPr/>
      </w:pPr>
      <w:bookmarkStart w:id="6" w:name="__RefHeading___Toc308_1395854570"/>
      <w:bookmarkEnd w:id="6"/>
      <w:r>
        <w:rPr/>
        <w:t>2.2. Ban Kỹ thuật</w:t>
      </w:r>
    </w:p>
    <w:p>
      <w:pPr>
        <w:pStyle w:val="Normal"/>
        <w:spacing w:lineRule="exact" w:line="300" w:before="0" w:after="120"/>
        <w:rPr/>
      </w:pPr>
      <w:r>
        <w:rPr/>
        <w:t>Ban Kỹ thuật chịu trách nhiệm toàn bộ hạ tầng và hồ sơ kỹ thuật phục vụ hội nghị, bao gồm phòng họp, thiết bị trình chiếu, dữ liệu báo cáo viên và tài liệu truyền thông.</w:t>
      </w:r>
    </w:p>
    <w:p>
      <w:pPr>
        <w:pStyle w:val="Heading3"/>
        <w:rPr/>
      </w:pPr>
      <w:bookmarkStart w:id="7" w:name="__RefHeading___Toc310_1395854570"/>
      <w:bookmarkEnd w:id="7"/>
      <w:r>
        <w:rPr/>
        <w:t>2.2.1. Nhiệm vụ của Trưởng Ban Kỹ thuật</w:t>
      </w:r>
    </w:p>
    <w:p>
      <w:pPr>
        <w:pStyle w:val="Normal"/>
        <w:spacing w:lineRule="exact" w:line="300" w:before="0" w:after="120"/>
        <w:rPr/>
      </w:pPr>
      <w:r>
        <w:rPr/>
        <w:t>Trưởng Ban Kỹ thuật thiết kế kiến trúc bộ hồ sơ, bảo đảm dữ liệu thống nhất giữa ba tài liệu và xử lý các tình huống phát sinh trong ngày hội nghị.</w:t>
      </w:r>
    </w:p>
    <w:p>
      <w:pPr>
        <w:pStyle w:val="Heading3"/>
        <w:rPr/>
      </w:pPr>
      <w:bookmarkStart w:id="8" w:name="__RefHeading___Toc312_1395854570"/>
      <w:bookmarkEnd w:id="8"/>
      <w:r>
        <w:rPr/>
        <w:t>2.2.2. Bộ hồ sơ kỹ thuật</w:t>
      </w:r>
    </w:p>
    <w:p>
      <w:pPr>
        <w:pStyle w:val="Normal"/>
        <w:spacing w:lineRule="exact" w:line="300" w:before="0" w:after="120"/>
        <w:rPr/>
      </w:pPr>
      <w:r>
        <w:rPr/>
        <w:t>Bộ hồ sơ gồm ba thành phần: bảng theo dõi báo cáo viên bằng Excel là nguồn dữ liệu duy nhất; kế hoạch này bằng Word và slide khai mạc bằng PowerPoint chỉ hiển thị số liệu lấy từ nguồn đó.</w:t>
      </w:r>
    </w:p>
    <w:p>
      <w:pPr>
        <w:pStyle w:val="Heading1"/>
        <w:rPr/>
      </w:pPr>
      <w:bookmarkStart w:id="9" w:name="__RefHeading___Toc314_1395854570"/>
      <w:bookmarkEnd w:id="9"/>
      <w:r>
        <w:rPr/>
        <w:t>3. Lịch trình hội nghị</w:t>
      </w:r>
    </w:p>
    <w:p>
      <w:pPr>
        <w:pStyle w:val="Heading2"/>
        <w:rPr/>
      </w:pPr>
      <w:bookmarkStart w:id="10" w:name="__RefHeading___Toc316_1395854570"/>
      <w:bookmarkEnd w:id="10"/>
      <w:r>
        <w:rPr/>
        <w:t>3.1. Buổi sáng</w:t>
      </w:r>
    </w:p>
    <w:tbl>
      <w:tblPr>
        <w:tblW w:w="9000" w:type="dxa"/>
        <w:jc w:val="left"/>
        <w:tblInd w:w="0" w:type="dxa"/>
        <w:tblLayout w:type="fixed"/>
        <w:tblCellMar>
          <w:top w:w="60" w:type="dxa"/>
          <w:left w:w="100" w:type="dxa"/>
          <w:bottom w:w="60" w:type="dxa"/>
          <w:right w:w="100" w:type="dxa"/>
        </w:tblCellMar>
      </w:tblPr>
      <w:tblGrid>
        <w:gridCol w:w="2199"/>
        <w:gridCol w:w="4200"/>
        <w:gridCol w:w="2601"/>
      </w:tblGrid>
      <w:tr>
        <w:trPr>
          <w:tblHeader w:val="true"/>
        </w:trPr>
        <w:tc>
          <w:tcPr>
            <w:tcW w:w="2199"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Thời gian</w:t>
            </w:r>
          </w:p>
        </w:tc>
        <w:tc>
          <w:tcPr>
            <w:tcW w:w="4200"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Nội dung</w:t>
            </w:r>
          </w:p>
        </w:tc>
        <w:tc>
          <w:tcPr>
            <w:tcW w:w="2601"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Địa điểm</w:t>
            </w:r>
          </w:p>
        </w:tc>
      </w:tr>
      <w:tr>
        <w:trPr>
          <w:cantSplit w:val="true"/>
        </w:trPr>
        <w:tc>
          <w:tcPr>
            <w:tcW w:w="21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07:30 – 08:00</w:t>
            </w:r>
          </w:p>
        </w:tc>
        <w:tc>
          <w:tcPr>
            <w:tcW w:w="4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Đón tiếp và check-in đại biểu</w:t>
            </w:r>
          </w:p>
        </w:tc>
        <w:tc>
          <w:tcPr>
            <w:tcW w:w="2601"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Sảnh Hội trường A</w:t>
            </w:r>
          </w:p>
        </w:tc>
      </w:tr>
      <w:tr>
        <w:trPr>
          <w:cantSplit w:val="true"/>
        </w:trPr>
        <w:tc>
          <w:tcPr>
            <w:tcW w:w="21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08:00 – 08:30</w:t>
            </w:r>
          </w:p>
        </w:tc>
        <w:tc>
          <w:tcPr>
            <w:tcW w:w="4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Lễ khai mạc</w:t>
            </w:r>
          </w:p>
        </w:tc>
        <w:tc>
          <w:tcPr>
            <w:tcW w:w="2601"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Hội trường A</w:t>
            </w:r>
          </w:p>
        </w:tc>
      </w:tr>
      <w:tr>
        <w:trPr>
          <w:cantSplit w:val="true"/>
        </w:trPr>
        <w:tc>
          <w:tcPr>
            <w:tcW w:w="21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08:30 – 09:15</w:t>
            </w:r>
          </w:p>
        </w:tc>
        <w:tc>
          <w:tcPr>
            <w:tcW w:w="4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Báo cáo đặc biệt của khách mời</w:t>
            </w:r>
          </w:p>
        </w:tc>
        <w:tc>
          <w:tcPr>
            <w:tcW w:w="2601"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Hội trường A</w:t>
            </w:r>
          </w:p>
        </w:tc>
      </w:tr>
      <w:tr>
        <w:trPr>
          <w:cantSplit w:val="true"/>
        </w:trPr>
        <w:tc>
          <w:tcPr>
            <w:tcW w:w="21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09:15 – 09:30</w:t>
            </w:r>
          </w:p>
        </w:tc>
        <w:tc>
          <w:tcPr>
            <w:tcW w:w="4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Giải lao</w:t>
            </w:r>
          </w:p>
        </w:tc>
        <w:tc>
          <w:tcPr>
            <w:tcW w:w="2601"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Sảnh Hội trường A</w:t>
            </w:r>
          </w:p>
        </w:tc>
      </w:tr>
      <w:tr>
        <w:trPr>
          <w:cantSplit w:val="true"/>
        </w:trPr>
        <w:tc>
          <w:tcPr>
            <w:tcW w:w="2199"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09:30 – 11:30</w:t>
            </w:r>
          </w:p>
        </w:tc>
        <w:tc>
          <w:tcPr>
            <w:tcW w:w="4200"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Phiên báo cáo song song thứ nhất</w:t>
            </w:r>
          </w:p>
        </w:tc>
        <w:tc>
          <w:tcPr>
            <w:tcW w:w="2601"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P.A101, P.A102, P.B201, P.B202</w:t>
            </w:r>
          </w:p>
        </w:tc>
      </w:tr>
    </w:tbl>
    <w:p>
      <w:pPr>
        <w:pStyle w:val="Normal"/>
        <w:spacing w:before="0" w:after="60"/>
        <w:rPr/>
      </w:pPr>
      <w:r>
        <w:rPr/>
      </w:r>
    </w:p>
    <w:p>
      <w:pPr>
        <w:pStyle w:val="Heading2"/>
        <w:rPr/>
      </w:pPr>
      <w:bookmarkStart w:id="11" w:name="__RefHeading___Toc318_1395854570"/>
      <w:bookmarkEnd w:id="11"/>
      <w:r>
        <w:rPr/>
        <w:t>3.2. Buổi chiều</w:t>
      </w:r>
    </w:p>
    <w:tbl>
      <w:tblPr>
        <w:tblW w:w="9000" w:type="dxa"/>
        <w:jc w:val="left"/>
        <w:tblInd w:w="0" w:type="dxa"/>
        <w:tblLayout w:type="fixed"/>
        <w:tblCellMar>
          <w:top w:w="60" w:type="dxa"/>
          <w:left w:w="100" w:type="dxa"/>
          <w:bottom w:w="60" w:type="dxa"/>
          <w:right w:w="100" w:type="dxa"/>
        </w:tblCellMar>
      </w:tblPr>
      <w:tblGrid>
        <w:gridCol w:w="2199"/>
        <w:gridCol w:w="4200"/>
        <w:gridCol w:w="2601"/>
      </w:tblGrid>
      <w:tr>
        <w:trPr>
          <w:tblHeader w:val="true"/>
        </w:trPr>
        <w:tc>
          <w:tcPr>
            <w:tcW w:w="2199"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Thời gian</w:t>
            </w:r>
          </w:p>
        </w:tc>
        <w:tc>
          <w:tcPr>
            <w:tcW w:w="4200"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Nội dung</w:t>
            </w:r>
          </w:p>
        </w:tc>
        <w:tc>
          <w:tcPr>
            <w:tcW w:w="2601"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Địa điểm</w:t>
            </w:r>
          </w:p>
        </w:tc>
      </w:tr>
      <w:tr>
        <w:trPr>
          <w:cantSplit w:val="true"/>
        </w:trPr>
        <w:tc>
          <w:tcPr>
            <w:tcW w:w="21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13:30 – 15:30</w:t>
            </w:r>
          </w:p>
        </w:tc>
        <w:tc>
          <w:tcPr>
            <w:tcW w:w="4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Phiên báo cáo song song thứ hai</w:t>
            </w:r>
          </w:p>
        </w:tc>
        <w:tc>
          <w:tcPr>
            <w:tcW w:w="2601"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P.A101, P.A102, P.B201, P.B202</w:t>
            </w:r>
          </w:p>
        </w:tc>
      </w:tr>
      <w:tr>
        <w:trPr>
          <w:cantSplit w:val="true"/>
        </w:trPr>
        <w:tc>
          <w:tcPr>
            <w:tcW w:w="21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15:30 – 16:15</w:t>
            </w:r>
          </w:p>
        </w:tc>
        <w:tc>
          <w:tcPr>
            <w:tcW w:w="42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Ban giám khảo họp chấm điểm</w:t>
            </w:r>
          </w:p>
        </w:tc>
        <w:tc>
          <w:tcPr>
            <w:tcW w:w="2601"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Phòng họp Ban giám khảo</w:t>
            </w:r>
          </w:p>
        </w:tc>
      </w:tr>
      <w:tr>
        <w:trPr>
          <w:cantSplit w:val="true"/>
        </w:trPr>
        <w:tc>
          <w:tcPr>
            <w:tcW w:w="2199"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16:15 – 17:00</w:t>
            </w:r>
          </w:p>
        </w:tc>
        <w:tc>
          <w:tcPr>
            <w:tcW w:w="4200"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Bế mạc và trao giải</w:t>
            </w:r>
          </w:p>
        </w:tc>
        <w:tc>
          <w:tcPr>
            <w:tcW w:w="2601"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Hội trường A</w:t>
            </w:r>
          </w:p>
        </w:tc>
      </w:tr>
    </w:tbl>
    <w:p>
      <w:pPr>
        <w:pStyle w:val="Normal"/>
        <w:spacing w:before="0" w:after="60"/>
        <w:rPr/>
      </w:pPr>
      <w:r>
        <w:rPr/>
      </w:r>
    </w:p>
    <w:p>
      <w:pPr>
        <w:pStyle w:val="Heading1"/>
        <w:rPr/>
      </w:pPr>
      <w:bookmarkStart w:id="12" w:name="__RefHeading___Toc320_1395854570"/>
      <w:bookmarkEnd w:id="12"/>
      <w:r>
        <w:rPr/>
        <w:t>4. Cơ cấu giải thưởng</w:t>
      </w:r>
    </w:p>
    <w:p>
      <w:pPr>
        <w:pStyle w:val="Heading2"/>
        <w:rPr/>
      </w:pPr>
      <w:bookmarkStart w:id="13" w:name="__RefHeading___Toc322_1395854570"/>
      <w:bookmarkEnd w:id="13"/>
      <w:r>
        <w:rPr/>
        <w:t>4.1. Các giải thưởng</w:t>
      </w:r>
    </w:p>
    <w:tbl>
      <w:tblPr>
        <w:tblW w:w="9000" w:type="dxa"/>
        <w:jc w:val="left"/>
        <w:tblInd w:w="0" w:type="dxa"/>
        <w:tblLayout w:type="fixed"/>
        <w:tblCellMar>
          <w:top w:w="60" w:type="dxa"/>
          <w:left w:w="100" w:type="dxa"/>
          <w:bottom w:w="60" w:type="dxa"/>
          <w:right w:w="100" w:type="dxa"/>
        </w:tblCellMar>
      </w:tblPr>
      <w:tblGrid>
        <w:gridCol w:w="2999"/>
        <w:gridCol w:w="1800"/>
        <w:gridCol w:w="2201"/>
        <w:gridCol w:w="1999"/>
      </w:tblGrid>
      <w:tr>
        <w:trPr>
          <w:tblHeader w:val="true"/>
        </w:trPr>
        <w:tc>
          <w:tcPr>
            <w:tcW w:w="2999"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Giải</w:t>
            </w:r>
          </w:p>
        </w:tc>
        <w:tc>
          <w:tcPr>
            <w:tcW w:w="1800"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Số lượng</w:t>
            </w:r>
          </w:p>
        </w:tc>
        <w:tc>
          <w:tcPr>
            <w:tcW w:w="2201"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Giá trị mỗi giải (VNĐ)</w:t>
            </w:r>
          </w:p>
        </w:tc>
        <w:tc>
          <w:tcPr>
            <w:tcW w:w="1999" w:type="dxa"/>
            <w:tcBorders>
              <w:top w:val="single" w:sz="4" w:space="0" w:color="999999"/>
              <w:left w:val="single" w:sz="4" w:space="0" w:color="999999"/>
              <w:bottom w:val="single" w:sz="4" w:space="0" w:color="999999"/>
              <w:right w:val="single" w:sz="4" w:space="0" w:color="999999"/>
            </w:tcBorders>
            <w:shd w:color="auto" w:fill="1F3864" w:val="clear"/>
          </w:tcPr>
          <w:p>
            <w:pPr>
              <w:pStyle w:val="Normal"/>
              <w:keepNext w:val="true"/>
              <w:rPr/>
            </w:pPr>
            <w:r>
              <w:rPr>
                <w:b/>
                <w:bCs/>
                <w:color w:val="FFFFFF"/>
                <w:sz w:val="22"/>
                <w:szCs w:val="22"/>
              </w:rPr>
              <w:t>Thành tiền (VNĐ)</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Giải Nhất</w:t>
            </w:r>
          </w:p>
        </w:tc>
        <w:tc>
          <w:tcPr>
            <w:tcW w:w="18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1</w:t>
            </w:r>
          </w:p>
        </w:tc>
        <w:tc>
          <w:tcPr>
            <w:tcW w:w="2201"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5.000.000</w:t>
            </w:r>
          </w:p>
        </w:tc>
        <w:tc>
          <w:tcPr>
            <w:tcW w:w="19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5.000.000</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Giải Nhì</w:t>
            </w:r>
          </w:p>
        </w:tc>
        <w:tc>
          <w:tcPr>
            <w:tcW w:w="18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2</w:t>
            </w:r>
          </w:p>
        </w:tc>
        <w:tc>
          <w:tcPr>
            <w:tcW w:w="2201"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3.000.000</w:t>
            </w:r>
          </w:p>
        </w:tc>
        <w:tc>
          <w:tcPr>
            <w:tcW w:w="19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6.000.000</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Giải Ba</w:t>
            </w:r>
          </w:p>
        </w:tc>
        <w:tc>
          <w:tcPr>
            <w:tcW w:w="18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3</w:t>
            </w:r>
          </w:p>
        </w:tc>
        <w:tc>
          <w:tcPr>
            <w:tcW w:w="2201"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2.000.000</w:t>
            </w:r>
          </w:p>
        </w:tc>
        <w:tc>
          <w:tcPr>
            <w:tcW w:w="19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6.000.000</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Giải Khuyến khích</w:t>
            </w:r>
          </w:p>
        </w:tc>
        <w:tc>
          <w:tcPr>
            <w:tcW w:w="1800"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5</w:t>
            </w:r>
          </w:p>
        </w:tc>
        <w:tc>
          <w:tcPr>
            <w:tcW w:w="2201"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1.000.000</w:t>
            </w:r>
          </w:p>
        </w:tc>
        <w:tc>
          <w:tcPr>
            <w:tcW w:w="1999" w:type="dxa"/>
            <w:tcBorders>
              <w:top w:val="single" w:sz="4" w:space="0" w:color="999999"/>
              <w:left w:val="single" w:sz="4" w:space="0" w:color="999999"/>
              <w:bottom w:val="single" w:sz="4" w:space="0" w:color="999999"/>
              <w:right w:val="single" w:sz="4" w:space="0" w:color="999999"/>
            </w:tcBorders>
          </w:tcPr>
          <w:p>
            <w:pPr>
              <w:pStyle w:val="Normal"/>
              <w:keepNext w:val="true"/>
              <w:rPr/>
            </w:pPr>
            <w:r>
              <w:rPr>
                <w:b w:val="false"/>
                <w:bCs w:val="false"/>
                <w:color w:val="000000"/>
                <w:sz w:val="22"/>
                <w:szCs w:val="22"/>
              </w:rPr>
              <w:t>5.000.000</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Tổng cộng</w:t>
            </w:r>
          </w:p>
        </w:tc>
        <w:tc>
          <w:tcPr>
            <w:tcW w:w="1800"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11</w:t>
            </w:r>
          </w:p>
        </w:tc>
        <w:tc>
          <w:tcPr>
            <w:tcW w:w="2201" w:type="dxa"/>
            <w:tcBorders>
              <w:top w:val="single" w:sz="4" w:space="0" w:color="999999"/>
              <w:left w:val="single" w:sz="4" w:space="0" w:color="999999"/>
              <w:bottom w:val="single" w:sz="4" w:space="0" w:color="999999"/>
              <w:right w:val="single" w:sz="4" w:space="0" w:color="999999"/>
            </w:tcBorders>
          </w:tcPr>
          <w:p>
            <w:pPr>
              <w:pStyle w:val="Normal"/>
              <w:keepNext w:val="false"/>
              <w:rPr/>
            </w:pPr>
            <w:r>
              <w:rPr/>
            </w:r>
          </w:p>
        </w:tc>
        <w:tc>
          <w:tcPr>
            <w:tcW w:w="1999" w:type="dxa"/>
            <w:tcBorders>
              <w:top w:val="single" w:sz="4" w:space="0" w:color="999999"/>
              <w:left w:val="single" w:sz="4" w:space="0" w:color="999999"/>
              <w:bottom w:val="single" w:sz="4" w:space="0" w:color="999999"/>
              <w:right w:val="single" w:sz="4" w:space="0" w:color="999999"/>
            </w:tcBorders>
          </w:tcPr>
          <w:p>
            <w:pPr>
              <w:pStyle w:val="Normal"/>
              <w:keepNext w:val="false"/>
              <w:rPr/>
            </w:pPr>
            <w:r>
              <w:rPr>
                <w:b w:val="false"/>
                <w:bCs w:val="false"/>
                <w:color w:val="000000"/>
                <w:sz w:val="22"/>
                <w:szCs w:val="22"/>
              </w:rPr>
              <w:t>22.000.000</w:t>
            </w:r>
          </w:p>
        </w:tc>
      </w:tr>
    </w:tbl>
    <w:p>
      <w:pPr>
        <w:pStyle w:val="Normal"/>
        <w:spacing w:before="0" w:after="60"/>
        <w:rPr/>
      </w:pPr>
      <w:r>
        <w:rPr/>
      </w:r>
    </w:p>
    <w:p>
      <w:pPr>
        <w:pStyle w:val="Heading2"/>
        <w:rPr/>
      </w:pPr>
      <w:bookmarkStart w:id="14" w:name="__RefHeading___Toc324_1395854570"/>
      <w:bookmarkEnd w:id="14"/>
      <w:r>
        <w:rPr/>
        <w:t>4.2. Tiêu chí chấm điểm</w:t>
      </w:r>
    </w:p>
    <w:p>
      <w:pPr>
        <w:pStyle w:val="Normal"/>
        <w:spacing w:lineRule="exact" w:line="300" w:before="0" w:after="120"/>
        <w:rPr/>
      </w:pPr>
      <w:r>
        <w:rPr/>
        <w:t>Ban giám khảo chấm mỗi báo cáo theo thang 100 điểm với bốn tiêu chí sau:</w:t>
      </w:r>
    </w:p>
    <w:p>
      <w:pPr>
        <w:pStyle w:val="ListParagraph"/>
        <w:numPr>
          <w:ilvl w:val="0"/>
          <w:numId w:val="4"/>
        </w:numPr>
        <w:spacing w:lineRule="exact" w:line="300" w:before="0" w:after="80"/>
        <w:rPr/>
      </w:pPr>
      <w:r>
        <w:rPr/>
        <w:t>Tính mới và giá trị khoa học của nội dung: 30 điểm.</w:t>
      </w:r>
    </w:p>
    <w:p>
      <w:pPr>
        <w:pStyle w:val="ListParagraph"/>
        <w:numPr>
          <w:ilvl w:val="0"/>
          <w:numId w:val="1"/>
        </w:numPr>
        <w:spacing w:lineRule="exact" w:line="300" w:before="0" w:after="80"/>
        <w:rPr/>
      </w:pPr>
      <w:r>
        <w:rPr/>
        <w:t>Tính ứng dụng và khả năng triển khai thực tế: 30 điểm.</w:t>
      </w:r>
    </w:p>
    <w:p>
      <w:pPr>
        <w:pStyle w:val="ListParagraph"/>
        <w:numPr>
          <w:ilvl w:val="0"/>
          <w:numId w:val="1"/>
        </w:numPr>
        <w:spacing w:lineRule="exact" w:line="300" w:before="0" w:after="80"/>
        <w:rPr/>
      </w:pPr>
      <w:r>
        <w:rPr/>
        <w:t>Chất lượng trình bày và trả lời câu hỏi: 30 điểm.</w:t>
      </w:r>
    </w:p>
    <w:p>
      <w:pPr>
        <w:pStyle w:val="ListParagraph"/>
        <w:numPr>
          <w:ilvl w:val="0"/>
          <w:numId w:val="1"/>
        </w:numPr>
        <w:spacing w:lineRule="exact" w:line="300" w:before="0" w:after="80"/>
        <w:rPr/>
      </w:pPr>
      <w:r>
        <w:rPr/>
        <w:t>Tuân thủ thời gian và định dạng slide: 10 điểm.</w:t>
      </w:r>
    </w:p>
    <w:p>
      <w:pPr>
        <w:pStyle w:val="Heading1"/>
        <w:rPr/>
      </w:pPr>
      <w:bookmarkStart w:id="15" w:name="__RefHeading___Toc326_1395854570"/>
      <w:bookmarkEnd w:id="15"/>
      <w:r>
        <w:rPr/>
        <w:t>5. Quy chế hội nghị</w:t>
      </w:r>
    </w:p>
    <w:p>
      <w:pPr>
        <w:pStyle w:val="Heading2"/>
        <w:rPr/>
      </w:pPr>
      <w:bookmarkStart w:id="16" w:name="__RefHeading___Toc328_1395854570"/>
      <w:bookmarkEnd w:id="16"/>
      <w:r>
        <w:rPr/>
        <w:t>5.1. Quy định đối với báo cáo viên</w:t>
      </w:r>
    </w:p>
    <w:p>
      <w:pPr>
        <w:pStyle w:val="ListParagraph"/>
        <w:numPr>
          <w:ilvl w:val="0"/>
          <w:numId w:val="5"/>
        </w:numPr>
        <w:spacing w:lineRule="exact" w:line="300" w:before="0" w:after="80"/>
        <w:rPr/>
      </w:pPr>
      <w:r>
        <w:rPr/>
        <w:t>Nộp slide báo cáo cho Ban Kỹ thuật trước ngày 15/05/2027.</w:t>
      </w:r>
    </w:p>
    <w:p>
      <w:pPr>
        <w:pStyle w:val="ListParagraph"/>
        <w:numPr>
          <w:ilvl w:val="0"/>
          <w:numId w:val="2"/>
        </w:numPr>
        <w:spacing w:lineRule="exact" w:line="300" w:before="0" w:after="80"/>
        <w:rPr/>
      </w:pPr>
      <w:r>
        <w:rPr/>
        <w:t>Có mặt tại phòng được phân công ít nhất 15 phút trước giờ báo cáo.</w:t>
      </w:r>
    </w:p>
    <w:p>
      <w:pPr>
        <w:pStyle w:val="ListParagraph"/>
        <w:numPr>
          <w:ilvl w:val="0"/>
          <w:numId w:val="2"/>
        </w:numPr>
        <w:spacing w:lineRule="exact" w:line="300" w:before="0" w:after="80"/>
        <w:rPr/>
      </w:pPr>
      <w:r>
        <w:rPr/>
        <w:t>Trình bày không quá 20 phút, trả lời câu hỏi tối đa 10 phút.</w:t>
      </w:r>
    </w:p>
    <w:p>
      <w:pPr>
        <w:pStyle w:val="ListParagraph"/>
        <w:numPr>
          <w:ilvl w:val="0"/>
          <w:numId w:val="2"/>
        </w:numPr>
        <w:spacing w:lineRule="exact" w:line="300" w:before="0" w:after="80"/>
        <w:rPr/>
      </w:pPr>
      <w:r>
        <w:rPr/>
        <w:t>Chỉ sử dụng thiết bị trình chiếu do Ban Kỹ thuật cung cấp.</w:t>
      </w:r>
    </w:p>
    <w:p>
      <w:pPr>
        <w:pStyle w:val="Heading2"/>
        <w:rPr/>
      </w:pPr>
      <w:bookmarkStart w:id="17" w:name="__RefHeading___Toc330_1395854570"/>
      <w:bookmarkEnd w:id="17"/>
      <w:r>
        <w:rPr/>
        <w:t>5.2. Quy định đối với Ban giám khảo</w:t>
      </w:r>
    </w:p>
    <w:p>
      <w:pPr>
        <w:pStyle w:val="Normal"/>
        <w:spacing w:lineRule="exact" w:line="300" w:before="0" w:after="120"/>
        <w:rPr/>
      </w:pPr>
      <w:r>
        <w:rPr/>
        <w:t>Giám khảo chấm độc lập, không trao đổi điểm với nhau trong phiên báo cáo và phải khai báo nếu có quan hệ với nhóm tác giả được chấm. Điểm cuối cùng là điểm trung bình của các giám khảo trong hội đồng.</w:t>
      </w:r>
    </w:p>
    <w:p>
      <w:pPr>
        <w:pStyle w:val="Heading2"/>
        <w:rPr/>
      </w:pPr>
      <w:bookmarkStart w:id="18" w:name="__RefHeading___Toc332_1395854570"/>
      <w:bookmarkEnd w:id="18"/>
      <w:r>
        <w:rPr/>
        <w:t>5.3. Quy định đối với người tham dự</w:t>
      </w:r>
    </w:p>
    <w:p>
      <w:pPr>
        <w:pStyle w:val="Normal"/>
        <w:spacing w:lineRule="exact" w:line="300" w:before="0" w:after="120"/>
        <w:rPr/>
      </w:pPr>
      <w:r>
        <w:rPr/>
        <w:t>Người tham dự nhận thẻ đại biểu tại bàn check-in, đặt điện thoại ở chế độ im lặng và chỉ đặt câu hỏi khi được chủ tọa mời.</w:t>
      </w:r>
    </w:p>
    <w:sectPr>
      <w:type w:val="nextPage"/>
      <w:pgSz w:w="11906" w:h="16838"/>
      <w:pgMar w:left="1500" w:right="1300" w:gutter="0" w:header="0" w:top="1440" w:footer="0" w:bottom="1440"/>
      <w:pgNumType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Heading"/>
    <w:qFormat/>
    <w:pPr>
      <w:spacing w:before="360" w:after="160"/>
      <w:outlineLvl w:val="0"/>
    </w:pPr>
    <w:rPr>
      <w:rFonts w:ascii="Times New Roman" w:hAnsi="Times New Roman" w:eastAsia="Times New Roman" w:cs="Times New Roman"/>
      <w:b/>
      <w:bCs/>
      <w:color w:val="1F3864"/>
      <w:sz w:val="32"/>
      <w:szCs w:val="32"/>
    </w:rPr>
  </w:style>
  <w:style w:type="paragraph" w:styleId="Heading2">
    <w:name w:val="Heading 2"/>
    <w:basedOn w:val="Heading"/>
    <w:qFormat/>
    <w:pPr>
      <w:spacing w:before="240" w:after="120"/>
      <w:outlineLvl w:val="1"/>
    </w:pPr>
    <w:rPr>
      <w:rFonts w:ascii="Times New Roman" w:hAnsi="Times New Roman" w:eastAsia="Times New Roman" w:cs="Times New Roman"/>
      <w:b/>
      <w:bCs/>
      <w:color w:val="2E5597"/>
      <w:sz w:val="28"/>
      <w:szCs w:val="28"/>
    </w:rPr>
  </w:style>
  <w:style w:type="paragraph" w:styleId="Heading3">
    <w:name w:val="Heading 3"/>
    <w:basedOn w:val="Heading"/>
    <w:qFormat/>
    <w:pPr>
      <w:spacing w:before="180" w:after="100"/>
      <w:outlineLvl w:val="2"/>
    </w:pPr>
    <w:rPr>
      <w:rFonts w:ascii="Times New Roman" w:hAnsi="Times New Roman" w:eastAsia="Times New Roman" w:cs="Times New Roman"/>
      <w:b/>
      <w:bCs/>
      <w:i/>
      <w:iCs/>
      <w:color w:val="404040"/>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6"/>
      <w:szCs w:val="26"/>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tabs>
        <w:tab w:val="clear" w:pos="720"/>
        <w:tab w:val="right" w:pos="9106" w:leader="dot"/>
      </w:tabs>
      <w:ind w:hanging="0" w:left="0"/>
    </w:pPr>
    <w:rPr/>
  </w:style>
  <w:style w:type="paragraph" w:styleId="TOC2">
    <w:name w:val="TOC 2"/>
    <w:basedOn w:val="Index"/>
    <w:pPr>
      <w:tabs>
        <w:tab w:val="clear" w:pos="720"/>
        <w:tab w:val="right" w:pos="8823" w:leader="dot"/>
      </w:tabs>
      <w:ind w:hanging="0" w:left="283"/>
    </w:pPr>
    <w:rPr/>
  </w:style>
  <w:style w:type="paragraph" w:styleId="TOC3">
    <w:name w:val="TOC 3"/>
    <w:basedOn w:val="Index"/>
    <w:pPr>
      <w:tabs>
        <w:tab w:val="clear" w:pos="720"/>
        <w:tab w:val="right" w:pos="853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2026-10-19T18:11:03Z</dcterms:created>
  <dc:creator>Un-named</dc:creator>
  <dc:description/>
  <dc:language>en-US</dc:language>
  <cp:lastModifiedBy/>
  <dcterms:modified xsi:type="dcterms:W3CDTF">2026-10-19T18:11:05Z</dcterms:modified>
  <cp:revision>2</cp:revision>
  <dc:subject/>
  <dc:title/>
</cp:coreProperties>
</file>