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28"/>
          <w:szCs w:val="28"/>
        </w:rPr>
        <w:t xml:space="preserve">Control Remoto de un Brazo Robótico UR5 Mediante Protocolo MQTT y Simulación en CoppeliaSim</w:t>
      </w:r>
    </w:p>
    <w:p>
      <w:pPr>
        <w:spacing w:after="60"/>
        <w:jc w:val="center"/>
      </w:pPr>
      <w:r>
        <w:rPr>
          <w:rFonts w:ascii="Times New Roman" w:cs="Times New Roman" w:eastAsia="Times New Roman" w:hAnsi="Times New Roman"/>
          <w:sz w:val="22"/>
          <w:szCs w:val="22"/>
        </w:rPr>
        <w:t xml:space="preserve">Nharenn López</w:t>
      </w:r>
    </w:p>
    <w:p>
      <w:pPr>
        <w:spacing w:after="60"/>
        <w:jc w:val="center"/>
      </w:pPr>
      <w:r>
        <w:rPr>
          <w:rFonts w:ascii="Times New Roman" w:cs="Times New Roman" w:eastAsia="Times New Roman" w:hAnsi="Times New Roman"/>
          <w:i/>
          <w:iCs/>
          <w:sz w:val="18"/>
          <w:szCs w:val="18"/>
        </w:rPr>
        <w:t xml:space="preserve">Programa de Ingeniería</w:t>
      </w:r>
    </w:p>
    <w:p>
      <w:pPr>
        <w:spacing w:after="200"/>
        <w:jc w:val="center"/>
      </w:pPr>
      <w:r>
        <w:rPr>
          <w:rFonts w:ascii="Times New Roman" w:cs="Times New Roman" w:eastAsia="Times New Roman" w:hAnsi="Times New Roman"/>
          <w:i/>
          <w:iCs/>
          <w:sz w:val="18"/>
          <w:szCs w:val="18"/>
        </w:rPr>
        <w:t xml:space="preserve">nharennlopez@gmail.com</w:t>
      </w:r>
    </w:p>
    <w:p>
      <w:pPr>
        <w:spacing w:after="100"/>
        <w:jc w:val="center"/>
      </w:pPr>
      <w:r>
        <w:rPr>
          <w:rFonts w:ascii="Times New Roman" w:cs="Times New Roman" w:eastAsia="Times New Roman" w:hAnsi="Times New Roman"/>
          <w:b/>
          <w:bCs/>
          <w:i/>
          <w:iCs/>
          <w:sz w:val="20"/>
          <w:szCs w:val="20"/>
        </w:rPr>
        <w:t xml:space="preserve">Resumen</w:t>
      </w:r>
    </w:p>
    <w:p>
      <w:pPr>
        <w:spacing w:after="80" w:line="252"/>
        <w:jc w:val="both"/>
      </w:pPr>
      <w:r>
        <w:rPr>
          <w:rFonts w:ascii="Times New Roman" w:cs="Times New Roman" w:eastAsia="Times New Roman" w:hAnsi="Times New Roman"/>
          <w:sz w:val="18"/>
          <w:szCs w:val="18"/>
        </w:rPr>
        <w:t xml:space="preserve">El presente trabajo describe el diseño e implementación de un sistema de teleoperación para un brazo robótico Universal Robots UR5, empleando el protocolo MQTT como mecanismo principal de comunicación entre una interfaz web y el entorno de simulación CoppeliaSim. La arquitectura propuesta se compone de cuatro capas interconectadas: un broker Mosquitto que gestiona la mensajería, un puente de software desarrollado en Python que traduce los comandos MQTT en instrucciones de control articular mediante la API remota ZeroMQ, un sistema de control PID con sintonía dinámica, y un servidor de transmisión de video MJPEG que permite la retroalimentación visual en tiempo real. El sistema opera a una frecuencia de 20 Hz y soporta acceso remoto seguro a través de túneles cifrados, lo que posibilita la operación del manipulador desde cualquier ubicación geográfica con conexión a internet.</w:t>
      </w:r>
    </w:p>
    <w:p>
      <w:pPr>
        <w:spacing w:after="200"/>
      </w:pPr>
      <w:r>
        <w:rPr>
          <w:rFonts w:ascii="Times New Roman" w:cs="Times New Roman" w:eastAsia="Times New Roman" w:hAnsi="Times New Roman"/>
          <w:b/>
          <w:bCs/>
          <w:i/>
          <w:iCs/>
          <w:sz w:val="18"/>
          <w:szCs w:val="18"/>
        </w:rPr>
        <w:t xml:space="preserve">Palabras clave: </w:t>
      </w:r>
      <w:r>
        <w:rPr>
          <w:rFonts w:ascii="Times New Roman" w:cs="Times New Roman" w:eastAsia="Times New Roman" w:hAnsi="Times New Roman"/>
          <w:i/>
          <w:iCs/>
          <w:sz w:val="18"/>
          <w:szCs w:val="18"/>
        </w:rPr>
        <w:t xml:space="preserve">MQTT, CoppeliaSim, UR5, teleoperación, control PID, ZeroMQ, IoT robótico, simulación.</w:t>
      </w:r>
    </w:p>
    <w:p>
      <w:pPr>
        <w:spacing w:after="160" w:before="280"/>
        <w:jc w:val="center"/>
      </w:pPr>
      <w:r>
        <w:rPr>
          <w:rFonts w:ascii="Times New Roman" w:cs="Times New Roman" w:eastAsia="Times New Roman" w:hAnsi="Times New Roman"/>
          <w:b/>
          <w:bCs/>
          <w:sz w:val="22"/>
          <w:szCs w:val="22"/>
        </w:rPr>
        <w:t xml:space="preserve">I. INTRODUCCIÓN</w:t>
      </w:r>
    </w:p>
    <w:p>
      <w:pPr>
        <w:spacing w:after="120" w:line="264"/>
        <w:jc w:val="both"/>
      </w:pPr>
      <w:r>
        <w:rPr>
          <w:rFonts w:ascii="Times New Roman" w:cs="Times New Roman" w:eastAsia="Times New Roman" w:hAnsi="Times New Roman"/>
          <w:sz w:val="20"/>
          <w:szCs w:val="20"/>
        </w:rPr>
        <w:t xml:space="preserve">La robótica colaborativa ha experimentado un crecimiento sostenido durante la última década, impulsada en gran medida por la necesidad de automatizar procesos industriales que requieren flexibilidad y adaptabilidad. Dentro de este campo, los manipuladores de la serie Universal Robots —en particular el modelo UR5— se han consolidado como una de las plataformas más utilizadas tanto en entornos productivos como en investigación académica, gracias a su diseño de seis grados de libertad, su capacidad de carga de cinco kilogramos y un alcance máximo de 850 milímetros [1].</w:t>
      </w:r>
    </w:p>
    <w:p>
      <w:pPr>
        <w:spacing w:after="120" w:line="264"/>
        <w:ind w:firstLine="360"/>
        <w:jc w:val="both"/>
      </w:pPr>
      <w:r>
        <w:rPr>
          <w:rFonts w:ascii="Times New Roman" w:cs="Times New Roman" w:eastAsia="Times New Roman" w:hAnsi="Times New Roman"/>
          <w:sz w:val="20"/>
          <w:szCs w:val="20"/>
        </w:rPr>
        <w:t xml:space="preserve">En paralelo, el paradigma del Internet de las Cosas ha introducido protocolos de mensajería ligeros que resultan especialmente adecuados para aplicaciones de control distribuido. Entre ellos, MQTT se destaca por su modelo de publicación y suscripción, su bajo consumo de ancho de banda y su capacidad para mantener conexiones estables incluso en redes con latencia variable [2]. Estas características lo convierten en un candidato idóneo para la teleoperación de robots, donde la transmisión de comandos articulares y datos de sensores debe realizarse con la menor demora posible.</w:t>
      </w:r>
    </w:p>
    <w:p>
      <w:pPr>
        <w:spacing w:after="120" w:line="264"/>
        <w:ind w:firstLine="360"/>
        <w:jc w:val="both"/>
      </w:pPr>
      <w:r>
        <w:rPr>
          <w:rFonts w:ascii="Times New Roman" w:cs="Times New Roman" w:eastAsia="Times New Roman" w:hAnsi="Times New Roman"/>
          <w:sz w:val="20"/>
          <w:szCs w:val="20"/>
        </w:rPr>
        <w:t xml:space="preserve">El propósito central de este proyecto es integrar ambas tecnologías —el manipulador UR5 y el protocolo MQTT— dentro de una arquitectura modular que permita controlar el robot de forma remota a través de un navegador web estándar. Para la validación del sistema se emplea CoppeliaSim, un simulador robótico que ofrece motores de física realistas y una API remota basada en ZeroMQ, lo cual facilita la interacción programada con la escena de simulación sin necesidad de modificar directamente su código interno [3].</w:t>
      </w:r>
    </w:p>
    <w:p>
      <w:pPr>
        <w:spacing w:after="120" w:line="264"/>
        <w:ind w:firstLine="360"/>
        <w:jc w:val="both"/>
      </w:pPr>
      <w:r>
        <w:rPr>
          <w:rFonts w:ascii="Times New Roman" w:cs="Times New Roman" w:eastAsia="Times New Roman" w:hAnsi="Times New Roman"/>
          <w:sz w:val="20"/>
          <w:szCs w:val="20"/>
        </w:rPr>
        <w:t xml:space="preserve">El trabajo se estructura de la siguiente manera: la Sección II presenta los fundamentos teóricos de las tecnologías involucradas; la Sección III detalla la arquitectura del sistema; la Sección IV describe la implementación del puente de comunicación; la Sección V aborda el control PID; la Sección VI explica el mecanismo de transmisión de video; la Sección VII trata el acceso remoto; y la Sección VIII expone las conclusiones y líneas futuras de desarrollo.</w:t>
      </w:r>
    </w:p>
    <w:p>
      <w:pPr>
        <w:spacing w:after="160" w:before="280"/>
        <w:jc w:val="center"/>
      </w:pPr>
      <w:r>
        <w:rPr>
          <w:rFonts w:ascii="Times New Roman" w:cs="Times New Roman" w:eastAsia="Times New Roman" w:hAnsi="Times New Roman"/>
          <w:b/>
          <w:bCs/>
          <w:sz w:val="22"/>
          <w:szCs w:val="22"/>
        </w:rPr>
        <w:t xml:space="preserve">II. MARCO TEÓRICO</w:t>
      </w:r>
    </w:p>
    <w:p>
      <w:pPr>
        <w:spacing w:after="120" w:before="200"/>
      </w:pPr>
      <w:r>
        <w:rPr>
          <w:rFonts w:ascii="Times New Roman" w:cs="Times New Roman" w:eastAsia="Times New Roman" w:hAnsi="Times New Roman"/>
          <w:i/>
          <w:iCs/>
          <w:sz w:val="20"/>
          <w:szCs w:val="20"/>
        </w:rPr>
        <w:t xml:space="preserve">A. Protocolo MQTT</w:t>
      </w:r>
    </w:p>
    <w:p>
      <w:pPr>
        <w:spacing w:after="120" w:line="264"/>
        <w:jc w:val="both"/>
      </w:pPr>
      <w:r>
        <w:rPr>
          <w:rFonts w:ascii="Times New Roman" w:cs="Times New Roman" w:eastAsia="Times New Roman" w:hAnsi="Times New Roman"/>
          <w:sz w:val="20"/>
          <w:szCs w:val="20"/>
        </w:rPr>
        <w:t xml:space="preserve">MQTT (Message Queuing Telemetry Transport) es un protocolo de mensajería desarrollado originalmente por IBM en 1999 para la monitorización de oleoductos vía satélite. Su arquitectura se basa en un modelo de publicación/suscripción mediado por un servidor central denominado broker. Los clientes publican mensajes en tópicos jerárquicos —cadenas de texto separadas por barras como ur5/cmd/joints— y otros clientes se suscriben a dichos tópicos para recibir la información de manera asíncrona [2].</w:t>
      </w:r>
    </w:p>
    <w:p>
      <w:pPr>
        <w:spacing w:after="120" w:line="264"/>
        <w:ind w:firstLine="360"/>
        <w:jc w:val="both"/>
      </w:pPr>
      <w:r>
        <w:rPr>
          <w:rFonts w:ascii="Times New Roman" w:cs="Times New Roman" w:eastAsia="Times New Roman" w:hAnsi="Times New Roman"/>
          <w:sz w:val="20"/>
          <w:szCs w:val="20"/>
        </w:rPr>
        <w:t xml:space="preserve">Una característica relevante del protocolo es su sistema de calidad de servicio (QoS), que admite tres niveles: QoS 0, donde el mensaje se envía una sola vez sin confirmación; QoS 1, que garantiza al menos una entrega; y QoS 2, que asegura exactamente una entrega mediante un proceso de cuatro pasos. En el contexto de control robótico, el nivel QoS 0 resulta apropiado para datos de estado que se actualizan con alta frecuencia, mientras que QoS 1 es preferible para comandos críticos como la activación del gripper o el cambio de parámetros PID.</w:t>
      </w:r>
    </w:p>
    <w:p>
      <w:pPr>
        <w:spacing w:after="120" w:line="264"/>
        <w:ind w:firstLine="360"/>
        <w:jc w:val="both"/>
      </w:pPr>
      <w:r>
        <w:rPr>
          <w:rFonts w:ascii="Times New Roman" w:cs="Times New Roman" w:eastAsia="Times New Roman" w:hAnsi="Times New Roman"/>
          <w:sz w:val="20"/>
          <w:szCs w:val="20"/>
        </w:rPr>
        <w:t xml:space="preserve">Además de la transmisión convencional sobre TCP en el puerto 1883, MQTT soporta conexiones mediante WebSocket, lo cual permite que aplicaciones ejecutadas dentro de un navegador web establezcan comunicación directa con el broker. En la implementación actual, el broker Mosquitto expone un segundo listener en el puerto 9001 exclusivamente para conexiones WebSocket, posibilitando que la interfaz de usuario envíe y reciba mensajes sin intermediarios adicionales.</w:t>
      </w:r>
    </w:p>
    <w:p>
      <w:pPr>
        <w:spacing w:after="120" w:before="200"/>
      </w:pPr>
      <w:r>
        <w:rPr>
          <w:rFonts w:ascii="Times New Roman" w:cs="Times New Roman" w:eastAsia="Times New Roman" w:hAnsi="Times New Roman"/>
          <w:i/>
          <w:iCs/>
          <w:sz w:val="20"/>
          <w:szCs w:val="20"/>
        </w:rPr>
        <w:t xml:space="preserve">B. CoppeliaSim y la API Remota ZeroMQ</w:t>
      </w:r>
    </w:p>
    <w:p>
      <w:pPr>
        <w:spacing w:after="120" w:line="264"/>
        <w:jc w:val="both"/>
      </w:pPr>
      <w:r>
        <w:rPr>
          <w:rFonts w:ascii="Times New Roman" w:cs="Times New Roman" w:eastAsia="Times New Roman" w:hAnsi="Times New Roman"/>
          <w:sz w:val="20"/>
          <w:szCs w:val="20"/>
        </w:rPr>
        <w:t xml:space="preserve">CoppeliaSim (anteriormente conocido como V-REP) es un entorno de simulación robótica que integra múltiples motores de física —entre ellos Bullet y ODE— y permite la creación de escenas tridimensionales con modelos articulados. Desde su versión 4.6, el simulador incorpora una API remota basada en ZeroMQ que opera en el puerto 23000 por defecto. Esta interfaz permite que procesos externos lean posiciones articulares, establezcan posiciones objetivo y consulten el estado de sensores mediante llamadas de función remotas serializadas con CBOR [3].</w:t>
      </w:r>
    </w:p>
    <w:p>
      <w:pPr>
        <w:spacing w:after="120" w:line="264"/>
        <w:ind w:firstLine="360"/>
        <w:jc w:val="both"/>
      </w:pPr>
      <w:r>
        <w:rPr>
          <w:rFonts w:ascii="Times New Roman" w:cs="Times New Roman" w:eastAsia="Times New Roman" w:hAnsi="Times New Roman"/>
          <w:sz w:val="20"/>
          <w:szCs w:val="20"/>
        </w:rPr>
        <w:t xml:space="preserve">El modelo UR5 disponible en la biblioteca de CoppeliaSim reproduce fielmente la cinemática del manipulador real, incluyendo seis articulaciones de revolución dispuestas en serie. Cada articulación puede configurarse en modo de control de posición, velocidad o torque. Para este proyecto se utiliza el modo de posición, en el cual el motor de física del simulador aplica internamente un controlador PD que lleva la articulación a la posición objetivo establecida por el programa externo.</w:t>
      </w:r>
    </w:p>
    <w:p>
      <w:pPr>
        <w:spacing w:after="120" w:before="200"/>
      </w:pPr>
      <w:r>
        <w:rPr>
          <w:rFonts w:ascii="Times New Roman" w:cs="Times New Roman" w:eastAsia="Times New Roman" w:hAnsi="Times New Roman"/>
          <w:i/>
          <w:iCs/>
          <w:sz w:val="20"/>
          <w:szCs w:val="20"/>
        </w:rPr>
        <w:t xml:space="preserve">C. Brazo Robótico UR5</w:t>
      </w:r>
    </w:p>
    <w:p>
      <w:pPr>
        <w:spacing w:after="120" w:line="264"/>
        <w:jc w:val="both"/>
      </w:pPr>
      <w:r>
        <w:rPr>
          <w:rFonts w:ascii="Times New Roman" w:cs="Times New Roman" w:eastAsia="Times New Roman" w:hAnsi="Times New Roman"/>
          <w:sz w:val="20"/>
          <w:szCs w:val="20"/>
        </w:rPr>
        <w:t xml:space="preserve">El Universal Robot UR5 es un manipulador robótico de tipo serial compuesto por seis articulaciones rotacionales que le confieren seis grados de libertad (6-DOF). Su configuración articular sigue una cadena cinemática abierta donde cada articulación (J1 a J6) corresponde, respectivamente, a la base, el hombro, el codo, la primera muñeca, la segunda muñeca y la tercera muñeca. El rango angular de cada articulación abarca ±360 grados, aunque en la práctica los límites se restringen según la aplicación [1].</w:t>
      </w:r>
    </w:p>
    <w:p>
      <w:pPr>
        <w:spacing w:after="120" w:line="264"/>
        <w:ind w:firstLine="360"/>
        <w:jc w:val="both"/>
      </w:pPr>
      <w:r>
        <w:rPr>
          <w:rFonts w:ascii="Times New Roman" w:cs="Times New Roman" w:eastAsia="Times New Roman" w:hAnsi="Times New Roman"/>
          <w:sz w:val="20"/>
          <w:szCs w:val="20"/>
        </w:rPr>
        <w:t xml:space="preserve">En la implementación desarrollada, la articulación activa se selecciona desde la interfaz web y el controlador PID calcula la señal de correción correspondiente. Las seis posiciones articulares se leen simultáneamente cada ciclo de control y se transmiten al front-end para su visualización gráfica.</w:t>
      </w:r>
    </w:p>
    <w:p>
      <w:pPr>
        <w:spacing w:after="160" w:before="280"/>
        <w:jc w:val="center"/>
      </w:pPr>
      <w:r>
        <w:rPr>
          <w:rFonts w:ascii="Times New Roman" w:cs="Times New Roman" w:eastAsia="Times New Roman" w:hAnsi="Times New Roman"/>
          <w:b/>
          <w:bCs/>
          <w:sz w:val="22"/>
          <w:szCs w:val="22"/>
        </w:rPr>
        <w:t xml:space="preserve">III. ARQUITECTURA DEL SISTEMA</w:t>
      </w:r>
    </w:p>
    <w:p>
      <w:pPr>
        <w:spacing w:after="120" w:line="264"/>
        <w:jc w:val="both"/>
      </w:pPr>
      <w:r>
        <w:rPr>
          <w:rFonts w:ascii="Times New Roman" w:cs="Times New Roman" w:eastAsia="Times New Roman" w:hAnsi="Times New Roman"/>
          <w:sz w:val="20"/>
          <w:szCs w:val="20"/>
        </w:rPr>
        <w:t xml:space="preserve">El sistema se organiza en cuatro componentes principales que se comunican a través de dos protocolos bien diferenciados. La Fig. 1 muestra un diagrama simplificado de la arquitectura, donde las flechas indican la dirección del flujo de datos.</w:t>
      </w:r>
    </w:p>
    <w:p>
      <w:pPr>
        <w:spacing w:before="16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045"/>
        <w:gridCol w:w="1227"/>
        <w:gridCol w:w="2454"/>
        <w:gridCol w:w="1227"/>
        <w:gridCol w:w="2045"/>
        <w:gridCol w:w="1227"/>
      </w:tblGrid>
      <w:tr>
        <w:tc>
          <w:tcPr>
            <w:tcW w:type="dxa" w:w="2045"/>
            <w:tcBorders>
              <w:top w:val="single" w:color="333333" w:sz="1"/>
              <w:left w:val="single" w:color="333333" w:sz="1"/>
              <w:bottom w:val="single" w:color="333333" w:sz="1"/>
              <w:right w:val="single" w:color="333333"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Interfaz Web</w:t>
            </w:r>
          </w:p>
        </w:tc>
        <w:tc>
          <w:tcPr>
            <w:tcW w:type="dxa" w:w="1227"/>
            <w:tcBorders>
              <w:top w:val="single" w:color="333333" w:sz="1"/>
              <w:left w:val="single" w:color="333333" w:sz="1"/>
              <w:bottom w:val="single" w:color="333333" w:sz="1"/>
              <w:right w:val="single" w:color="333333"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 WS:9001</w:t>
            </w:r>
          </w:p>
        </w:tc>
        <w:tc>
          <w:tcPr>
            <w:tcW w:type="dxa" w:w="2454"/>
            <w:tcBorders>
              <w:top w:val="single" w:color="333333" w:sz="1"/>
              <w:left w:val="single" w:color="333333" w:sz="1"/>
              <w:bottom w:val="single" w:color="333333" w:sz="1"/>
              <w:right w:val="single" w:color="333333" w:sz="1"/>
            </w:tcBorders>
            <w:shd w:fill="E8D5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Broker Mosquitto</w:t>
            </w:r>
          </w:p>
        </w:tc>
        <w:tc>
          <w:tcPr>
            <w:tcW w:type="dxa" w:w="1227"/>
            <w:tcBorders>
              <w:top w:val="single" w:color="333333" w:sz="1"/>
              <w:left w:val="single" w:color="333333" w:sz="1"/>
              <w:bottom w:val="single" w:color="333333" w:sz="1"/>
              <w:right w:val="single" w:color="333333"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 TCP:1883</w:t>
            </w:r>
          </w:p>
        </w:tc>
        <w:tc>
          <w:tcPr>
            <w:tcW w:type="dxa" w:w="2045"/>
            <w:tcBorders>
              <w:top w:val="single" w:color="333333" w:sz="1"/>
              <w:left w:val="single" w:color="333333" w:sz="1"/>
              <w:bottom w:val="single" w:color="333333" w:sz="1"/>
              <w:right w:val="single" w:color="333333" w:sz="1"/>
            </w:tcBorders>
            <w:shd w:fill="D5F0E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Puente Python</w:t>
            </w:r>
          </w:p>
        </w:tc>
        <w:tc>
          <w:tcPr>
            <w:tcW w:type="dxa" w:w="1227"/>
            <w:tcBorders>
              <w:top w:val="single" w:color="333333" w:sz="1"/>
              <w:left w:val="single" w:color="333333" w:sz="1"/>
              <w:bottom w:val="single" w:color="333333" w:sz="1"/>
              <w:right w:val="single" w:color="333333"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 ZMQ:23000 → CoppeliaSim</w:t>
            </w:r>
          </w:p>
        </w:tc>
      </w:tr>
    </w:tbl>
    <w:p>
      <w:pPr>
        <w:spacing w:after="160" w:before="80"/>
        <w:jc w:val="center"/>
      </w:pPr>
      <w:r>
        <w:rPr>
          <w:rFonts w:ascii="Times New Roman" w:cs="Times New Roman" w:eastAsia="Times New Roman" w:hAnsi="Times New Roman"/>
          <w:i/>
          <w:iCs/>
          <w:sz w:val="18"/>
          <w:szCs w:val="18"/>
        </w:rPr>
        <w:t xml:space="preserve">Fig. 1. Arquitectura general del sistema de teleoperación.</w:t>
      </w:r>
    </w:p>
    <w:p>
      <w:pPr>
        <w:spacing w:after="120" w:line="264"/>
        <w:ind w:firstLine="360"/>
        <w:jc w:val="both"/>
      </w:pPr>
      <w:r>
        <w:rPr>
          <w:rFonts w:ascii="Times New Roman" w:cs="Times New Roman" w:eastAsia="Times New Roman" w:hAnsi="Times New Roman"/>
          <w:sz w:val="20"/>
          <w:szCs w:val="20"/>
        </w:rPr>
        <w:t xml:space="preserve">La primera capa corresponde a la interfaz de usuario, que se ejecuta en un navegador web y se conecta al broker Mosquitto mediante WebSocket en el puerto 9001. A través de esta conexión, el front-end publica comandos de posición articular en el tópico ur5/cmd/joints, comandos de gripper en ur5/cmd/gripper y parámetros PID en ur5/cmd/pid. Simultáneamente, se suscribe a los tópicos de estado (ur5/state/joints, ur5/state/pid, ur5/state/sensors) para recibir la retroalimentación del sistema.</w:t>
      </w:r>
    </w:p>
    <w:p>
      <w:pPr>
        <w:spacing w:after="120" w:line="264"/>
        <w:ind w:firstLine="360"/>
        <w:jc w:val="both"/>
      </w:pPr>
      <w:r>
        <w:rPr>
          <w:rFonts w:ascii="Times New Roman" w:cs="Times New Roman" w:eastAsia="Times New Roman" w:hAnsi="Times New Roman"/>
          <w:sz w:val="20"/>
          <w:szCs w:val="20"/>
        </w:rPr>
        <w:t xml:space="preserve">La segunda capa es el broker Mosquitto, configurado con un archivo mosquitto.conf que habilita dos listeners: uno TCP estándar en el puerto 1883 para la comunicación con el puente Python, y otro WebSocket en el puerto 9001 destinado al front-end. La persistencia se encuentra deshabilitada dado que los mensajes de estado se renuevan continuamente y no requieren almacenamiento.</w:t>
      </w:r>
    </w:p>
    <w:p>
      <w:pPr>
        <w:spacing w:after="120" w:line="264"/>
        <w:ind w:firstLine="360"/>
        <w:jc w:val="both"/>
      </w:pPr>
      <w:r>
        <w:rPr>
          <w:rFonts w:ascii="Times New Roman" w:cs="Times New Roman" w:eastAsia="Times New Roman" w:hAnsi="Times New Roman"/>
          <w:sz w:val="20"/>
          <w:szCs w:val="20"/>
        </w:rPr>
        <w:t xml:space="preserve">La tercera capa es el puente de comunicación (mqtt_bridge.py), un proceso Python que actúa como traductor bidireccional entre el protocolo MQTT y la API remota ZeroMQ de CoppeliaSim. Este componente se suscribe a los tópicos de comando, aplica las posiciones objetivo a las articulaciones del simulador, lee el estado actual del robot y lo publica de vuelta al broker. Su funcionamiento se detalla en la Sección IV.</w:t>
      </w:r>
    </w:p>
    <w:p>
      <w:pPr>
        <w:spacing w:after="120" w:line="264"/>
        <w:ind w:firstLine="360"/>
        <w:jc w:val="both"/>
      </w:pPr>
      <w:r>
        <w:rPr>
          <w:rFonts w:ascii="Times New Roman" w:cs="Times New Roman" w:eastAsia="Times New Roman" w:hAnsi="Times New Roman"/>
          <w:sz w:val="20"/>
          <w:szCs w:val="20"/>
        </w:rPr>
        <w:t xml:space="preserve">La cuarta capa es CoppeliaSim, donde se ejecuta la simulación física del UR5. Un script Lua asociado al modelo del robot configura las seis articulaciones en modo de control de posición durante la inicialización de la escena. La actuación efectiva se delega completamente al puente externo, que utiliza la función sim.setJointTargetPosition para establecer la referencia angular de cada articulación.</w:t>
      </w:r>
    </w:p>
    <w:p>
      <w:pPr>
        <w:spacing w:after="160" w:before="280"/>
        <w:jc w:val="center"/>
      </w:pPr>
      <w:r>
        <w:rPr>
          <w:rFonts w:ascii="Times New Roman" w:cs="Times New Roman" w:eastAsia="Times New Roman" w:hAnsi="Times New Roman"/>
          <w:b/>
          <w:bCs/>
          <w:sz w:val="22"/>
          <w:szCs w:val="22"/>
        </w:rPr>
        <w:t xml:space="preserve">IV. PUENTE DE COMUNICACIÓN MQTT-COPPELIASIM</w:t>
      </w:r>
    </w:p>
    <w:p>
      <w:pPr>
        <w:spacing w:after="120" w:line="264"/>
        <w:jc w:val="both"/>
      </w:pPr>
      <w:r>
        <w:rPr>
          <w:rFonts w:ascii="Times New Roman" w:cs="Times New Roman" w:eastAsia="Times New Roman" w:hAnsi="Times New Roman"/>
          <w:sz w:val="20"/>
          <w:szCs w:val="20"/>
        </w:rPr>
        <w:t xml:space="preserve">El componente central del sistema es la clase UR5Bridge, implementada en Python utilizando la biblioteca paho-mqtt para la comunicación con el broker y la biblioteca coppeliasim-zmqremoteapi-client para la interacción con el simulador. Al instanciarse, el puente configura un cliente MQTT con identificador ur5_bridge y establece un mensaje de «testáment» (Last Will and Testament) que notifica automáticamente a los suscriptores en caso de desconexión inesperada.</w:t>
      </w:r>
    </w:p>
    <w:p>
      <w:pPr>
        <w:spacing w:after="120" w:before="200"/>
      </w:pPr>
      <w:r>
        <w:rPr>
          <w:rFonts w:ascii="Times New Roman" w:cs="Times New Roman" w:eastAsia="Times New Roman" w:hAnsi="Times New Roman"/>
          <w:i/>
          <w:iCs/>
          <w:sz w:val="20"/>
          <w:szCs w:val="20"/>
        </w:rPr>
        <w:t xml:space="preserve">A. Descubrimiento de Articulaciones</w:t>
      </w:r>
    </w:p>
    <w:p>
      <w:pPr>
        <w:spacing w:after="120" w:line="264"/>
        <w:jc w:val="both"/>
      </w:pPr>
      <w:r>
        <w:rPr>
          <w:rFonts w:ascii="Times New Roman" w:cs="Times New Roman" w:eastAsia="Times New Roman" w:hAnsi="Times New Roman"/>
          <w:sz w:val="20"/>
          <w:szCs w:val="20"/>
        </w:rPr>
        <w:t xml:space="preserve">Uno de los desafíos técnicos del proyecto radica en la variabilidad de nombres con que CoppeliaSim identifica las articulaciones del UR5 según la versión del modelo importado. Para abordar esta cuestión, tanto el script Lua como el puente Python implementan un mecanismo de descubrimiento progresivo que intenta cinco estrategias distintas: rutas jerárquicas estándar (/UR5/joint, /UR5/link/joint, etc.), nombres numerados (/UR5_joint1 a /UR5_joint6), búsqueda recursiva desde el objeto base del robot, escaneo filtrado de todos los objetos articulares de la escena, y finalmente un barrido exhaustivo sin filtros de nombre.</w:t>
      </w:r>
    </w:p>
    <w:p>
      <w:pPr>
        <w:spacing w:after="120" w:line="264"/>
        <w:ind w:firstLine="360"/>
        <w:jc w:val="both"/>
      </w:pPr>
      <w:r>
        <w:rPr>
          <w:rFonts w:ascii="Times New Roman" w:cs="Times New Roman" w:eastAsia="Times New Roman" w:hAnsi="Times New Roman"/>
          <w:sz w:val="20"/>
          <w:szCs w:val="20"/>
        </w:rPr>
        <w:t xml:space="preserve">Esta cascada de estrategias garantiza que el sistema funcione independientemente de la convención de nomenclatura utilizada por el modelo, lo que aporta robustez ante actualizaciones del simulador o la importación de modelos de terceros.</w:t>
      </w:r>
    </w:p>
    <w:p>
      <w:pPr>
        <w:spacing w:after="120" w:before="200"/>
      </w:pPr>
      <w:r>
        <w:rPr>
          <w:rFonts w:ascii="Times New Roman" w:cs="Times New Roman" w:eastAsia="Times New Roman" w:hAnsi="Times New Roman"/>
          <w:i/>
          <w:iCs/>
          <w:sz w:val="20"/>
          <w:szCs w:val="20"/>
        </w:rPr>
        <w:t xml:space="preserve">B. Bucle Principal de Control</w:t>
      </w:r>
    </w:p>
    <w:p>
      <w:pPr>
        <w:spacing w:after="120" w:line="264"/>
        <w:jc w:val="both"/>
      </w:pPr>
      <w:r>
        <w:rPr>
          <w:rFonts w:ascii="Times New Roman" w:cs="Times New Roman" w:eastAsia="Times New Roman" w:hAnsi="Times New Roman"/>
          <w:sz w:val="20"/>
          <w:szCs w:val="20"/>
        </w:rPr>
        <w:t xml:space="preserve">El puente opera un bucle cíclico a 20 Hz (intervalo de 50 milisegundos) que ejecuta cuatro operaciones secuenciales en cada iteración. Primero, lee las posiciones articulares actuales del simulador mediante sim.getJointPosition, convirtiendo los valores de radianes a grados. Segundo, escribe las posiciones objetivo recibidas del front-end mediante sim.setJointTargetPosition, realizando la conversión inversa de grados a radianes. Tercero, calcula el estado del controlador PID para la articulación activa seleccionada por el usuario. Cuarto, publica los tres conjuntos de datos (posiciones, PID, sensores) en sus respectivos tópicos MQTT.</w:t>
      </w:r>
    </w:p>
    <w:p>
      <w:pPr>
        <w:spacing w:after="120" w:line="264"/>
        <w:ind w:firstLine="360"/>
        <w:jc w:val="both"/>
      </w:pPr>
      <w:r>
        <w:rPr>
          <w:rFonts w:ascii="Times New Roman" w:cs="Times New Roman" w:eastAsia="Times New Roman" w:hAnsi="Times New Roman"/>
          <w:sz w:val="20"/>
          <w:szCs w:val="20"/>
        </w:rPr>
        <w:t xml:space="preserve">Para mantener la frecuencia de operación estable, el bucle mide el tiempo transcurrido en cada iteración y calcula el tiempo de espera residual antes del siguiente ciclo. Si el procesamiento excede los 50 milisegundos asignados, el ciclo siguiente se ejecuta inmediatamente sin espera adicional.</w:t>
      </w:r>
    </w:p>
    <w:p>
      <w:pPr>
        <w:spacing w:after="120" w:before="200"/>
      </w:pPr>
      <w:r>
        <w:rPr>
          <w:rFonts w:ascii="Times New Roman" w:cs="Times New Roman" w:eastAsia="Times New Roman" w:hAnsi="Times New Roman"/>
          <w:i/>
          <w:iCs/>
          <w:sz w:val="20"/>
          <w:szCs w:val="20"/>
        </w:rPr>
        <w:t xml:space="preserve">C. Modo de Demostración</w:t>
      </w:r>
    </w:p>
    <w:p>
      <w:pPr>
        <w:spacing w:after="120" w:line="264"/>
        <w:jc w:val="both"/>
      </w:pPr>
      <w:r>
        <w:rPr>
          <w:rFonts w:ascii="Times New Roman" w:cs="Times New Roman" w:eastAsia="Times New Roman" w:hAnsi="Times New Roman"/>
          <w:sz w:val="20"/>
          <w:szCs w:val="20"/>
        </w:rPr>
        <w:t xml:space="preserve">Cuando CoppeliaSim no se encuentra disponible, el puente conmuta automáticamente a un modo de demostración donde las posiciones articulares se calculan localmente mediante una interpolación exponencial con ruido gaussiano superpuesto. La expresión utilizada es:</w:t>
      </w:r>
    </w:p>
    <w:p>
      <w:pPr>
        <w:spacing w:after="120" w:before="120"/>
        <w:jc w:val="center"/>
      </w:pPr>
      <w:r>
        <w:rPr>
          <w:rFonts w:ascii="Times New Roman" w:cs="Times New Roman" w:eastAsia="Times New Roman" w:hAnsi="Times New Roman"/>
          <w:i/>
          <w:iCs/>
          <w:sz w:val="20"/>
          <w:szCs w:val="20"/>
        </w:rPr>
        <w:t xml:space="preserve">q(t+1) = q(t) + α · (q_target − q(t)) + ε</w:t>
      </w:r>
    </w:p>
    <w:p>
      <w:pPr>
        <w:spacing w:after="120" w:line="264"/>
        <w:ind w:firstLine="360"/>
        <w:jc w:val="both"/>
      </w:pPr>
      <w:r>
        <w:rPr>
          <w:rFonts w:ascii="Times New Roman" w:cs="Times New Roman" w:eastAsia="Times New Roman" w:hAnsi="Times New Roman"/>
          <w:sz w:val="20"/>
          <w:szCs w:val="20"/>
        </w:rPr>
        <w:t xml:space="preserve">donde q(t) es la posición actual, q_target la posición deseada, α es el factor de convergencia (0.3 en modo demo, 0.06 en el fallback del front-end) y ε es una perturbación aleatoria uniforme que simula el ruido inherente a un sistema mecánico real. Este comportamiento permite que la interfaz de usuario sea completamente funcional sin necesidad de contar con el simulador activo.</w:t>
      </w:r>
    </w:p>
    <w:p>
      <w:pPr>
        <w:spacing w:after="160" w:before="280"/>
        <w:jc w:val="center"/>
      </w:pPr>
      <w:r>
        <w:rPr>
          <w:rFonts w:ascii="Times New Roman" w:cs="Times New Roman" w:eastAsia="Times New Roman" w:hAnsi="Times New Roman"/>
          <w:b/>
          <w:bCs/>
          <w:sz w:val="22"/>
          <w:szCs w:val="22"/>
        </w:rPr>
        <w:t xml:space="preserve">V. SISTEMA DE CONTROL PID</w:t>
      </w:r>
    </w:p>
    <w:p>
      <w:pPr>
        <w:spacing w:after="120" w:line="264"/>
        <w:jc w:val="both"/>
      </w:pPr>
      <w:r>
        <w:rPr>
          <w:rFonts w:ascii="Times New Roman" w:cs="Times New Roman" w:eastAsia="Times New Roman" w:hAnsi="Times New Roman"/>
          <w:sz w:val="20"/>
          <w:szCs w:val="20"/>
        </w:rPr>
        <w:t xml:space="preserve">El controlador proporcional-integral-derivativo implementado en la clase PIDController calcula la señal de correción para la articulación activa en cada ciclo del bucle principal. La formulación discreta empleada sigue la expresión clásica:</w:t>
      </w:r>
    </w:p>
    <w:p>
      <w:pPr>
        <w:spacing w:after="120" w:before="120"/>
        <w:jc w:val="center"/>
      </w:pPr>
      <w:r>
        <w:rPr>
          <w:rFonts w:ascii="Times New Roman" w:cs="Times New Roman" w:eastAsia="Times New Roman" w:hAnsi="Times New Roman"/>
          <w:i/>
          <w:iCs/>
          <w:sz w:val="20"/>
          <w:szCs w:val="20"/>
        </w:rPr>
        <w:t xml:space="preserve">u(k) = Kp · e(k) + Ki · Σ e(j)·Δt + Kd · [e(k) − e(k−1)] / Δt</w:t>
      </w:r>
    </w:p>
    <w:p>
      <w:pPr>
        <w:spacing w:after="120" w:line="264"/>
        <w:ind w:firstLine="360"/>
        <w:jc w:val="both"/>
      </w:pPr>
      <w:r>
        <w:rPr>
          <w:rFonts w:ascii="Times New Roman" w:cs="Times New Roman" w:eastAsia="Times New Roman" w:hAnsi="Times New Roman"/>
          <w:sz w:val="20"/>
          <w:szCs w:val="20"/>
        </w:rPr>
        <w:t xml:space="preserve">donde e(k) = setpoint − measured representa el error en el instante k, y Δt = 0.05 segundos corresponde al período de muestreo. Los valores por defecto de las ganancias son Kp = 2.0, Ki = 0.5 y Kd = 0.1, aunque el usuario puede modificarlos dinámicamente desde la interfaz a través del tópico ur5/cmd/pid.</w:t>
      </w:r>
    </w:p>
    <w:p>
      <w:pPr>
        <w:spacing w:after="120" w:line="264"/>
        <w:ind w:firstLine="360"/>
        <w:jc w:val="both"/>
      </w:pPr>
      <w:r>
        <w:rPr>
          <w:rFonts w:ascii="Times New Roman" w:cs="Times New Roman" w:eastAsia="Times New Roman" w:hAnsi="Times New Roman"/>
          <w:sz w:val="20"/>
          <w:szCs w:val="20"/>
        </w:rPr>
        <w:t xml:space="preserve">Para prevenir el fenómeno de wind-up integral, la acumulación del término integral se limita al rango [−50, 50] mediante una saturación (anti-windup por clamping). Esta técnica evita que errores persistentes durante transitorios prolongados generen sobrepicos excesivos en la respuesta del sistema.</w:t>
      </w:r>
    </w:p>
    <w:p>
      <w:pPr>
        <w:spacing w:before="160"/>
      </w:pPr>
    </w:p>
    <w:p>
      <w:pPr>
        <w:spacing w:after="160" w:before="80"/>
        <w:jc w:val="center"/>
      </w:pPr>
      <w:r>
        <w:rPr>
          <w:rFonts w:ascii="Times New Roman" w:cs="Times New Roman" w:eastAsia="Times New Roman" w:hAnsi="Times New Roman"/>
          <w:i/>
          <w:iCs/>
          <w:sz w:val="18"/>
          <w:szCs w:val="18"/>
        </w:rPr>
        <w:t xml:space="preserve">TABLA I. Tópicos MQTT del sistema.</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067"/>
        <w:gridCol w:w="1636"/>
        <w:gridCol w:w="1022"/>
        <w:gridCol w:w="4499"/>
      </w:tblGrid>
      <w:tr>
        <w:tc>
          <w:tcPr>
            <w:tcW w:type="dxa" w:w="3067"/>
            <w:tcBorders>
              <w:top w:val="single" w:color="333333" w:sz="1"/>
              <w:left w:val="single" w:color="333333" w:sz="1"/>
              <w:bottom w:val="single" w:color="333333" w:sz="1"/>
              <w:right w:val="single" w:color="333333" w:sz="1"/>
            </w:tcBorders>
            <w:shd w:fill="D9E2EC"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Tópico</w:t>
            </w:r>
          </w:p>
        </w:tc>
        <w:tc>
          <w:tcPr>
            <w:tcW w:type="dxa" w:w="1636"/>
            <w:tcBorders>
              <w:top w:val="single" w:color="333333" w:sz="1"/>
              <w:left w:val="single" w:color="333333" w:sz="1"/>
              <w:bottom w:val="single" w:color="333333" w:sz="1"/>
              <w:right w:val="single" w:color="333333" w:sz="1"/>
            </w:tcBorders>
            <w:shd w:fill="D9E2EC"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Dirección</w:t>
            </w:r>
          </w:p>
        </w:tc>
        <w:tc>
          <w:tcPr>
            <w:tcW w:type="dxa" w:w="1022"/>
            <w:tcBorders>
              <w:top w:val="single" w:color="333333" w:sz="1"/>
              <w:left w:val="single" w:color="333333" w:sz="1"/>
              <w:bottom w:val="single" w:color="333333" w:sz="1"/>
              <w:right w:val="single" w:color="333333" w:sz="1"/>
            </w:tcBorders>
            <w:shd w:fill="D9E2EC"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QoS</w:t>
            </w:r>
          </w:p>
        </w:tc>
        <w:tc>
          <w:tcPr>
            <w:tcW w:type="dxa" w:w="4499"/>
            <w:tcBorders>
              <w:top w:val="single" w:color="333333" w:sz="1"/>
              <w:left w:val="single" w:color="333333" w:sz="1"/>
              <w:bottom w:val="single" w:color="333333" w:sz="1"/>
              <w:right w:val="single" w:color="333333" w:sz="1"/>
            </w:tcBorders>
            <w:shd w:fill="D9E2EC"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Descripción</w:t>
            </w:r>
          </w:p>
        </w:tc>
      </w:tr>
      <w:tr>
        <w:tc>
          <w:tcPr>
            <w:tcW w:type="dxa" w:w="3067"/>
            <w:tcBorders>
              <w:top w:val="single" w:color="333333" w:sz="1"/>
              <w:left w:val="single" w:color="333333" w:sz="1"/>
              <w:bottom w:val="single" w:color="333333" w:sz="1"/>
              <w:right w:val="single" w:color="333333"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ur5/cmd/joints</w:t>
            </w:r>
          </w:p>
        </w:tc>
        <w:tc>
          <w:tcPr>
            <w:tcW w:type="dxa" w:w="1636"/>
            <w:tcBorders>
              <w:top w:val="single" w:color="333333" w:sz="1"/>
              <w:left w:val="single" w:color="333333" w:sz="1"/>
              <w:bottom w:val="single" w:color="333333" w:sz="1"/>
              <w:right w:val="single" w:color="333333"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Front → Bridge</w:t>
            </w:r>
          </w:p>
        </w:tc>
        <w:tc>
          <w:tcPr>
            <w:tcW w:type="dxa" w:w="1022"/>
            <w:tcBorders>
              <w:top w:val="single" w:color="333333" w:sz="1"/>
              <w:left w:val="single" w:color="333333" w:sz="1"/>
              <w:bottom w:val="single" w:color="333333" w:sz="1"/>
              <w:right w:val="single" w:color="333333"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w:t>
            </w:r>
          </w:p>
        </w:tc>
        <w:tc>
          <w:tcPr>
            <w:tcW w:type="dxa" w:w="4499"/>
            <w:tcBorders>
              <w:top w:val="single" w:color="333333" w:sz="1"/>
              <w:left w:val="single" w:color="333333" w:sz="1"/>
              <w:bottom w:val="single" w:color="333333" w:sz="1"/>
              <w:right w:val="single" w:color="333333"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Ángulos objetivo para las seis articulaciones (J1–J6)</w:t>
            </w:r>
          </w:p>
        </w:tc>
      </w:tr>
      <w:tr>
        <w:tc>
          <w:tcPr>
            <w:tcW w:type="dxa" w:w="3067"/>
            <w:tcBorders>
              <w:top w:val="single" w:color="333333" w:sz="1"/>
              <w:left w:val="single" w:color="333333" w:sz="1"/>
              <w:bottom w:val="single" w:color="333333" w:sz="1"/>
              <w:right w:val="single" w:color="333333"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ur5/cmd/gripper</w:t>
            </w:r>
          </w:p>
        </w:tc>
        <w:tc>
          <w:tcPr>
            <w:tcW w:type="dxa" w:w="1636"/>
            <w:tcBorders>
              <w:top w:val="single" w:color="333333" w:sz="1"/>
              <w:left w:val="single" w:color="333333" w:sz="1"/>
              <w:bottom w:val="single" w:color="333333" w:sz="1"/>
              <w:right w:val="single" w:color="333333"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Front → Bridge</w:t>
            </w:r>
          </w:p>
        </w:tc>
        <w:tc>
          <w:tcPr>
            <w:tcW w:type="dxa" w:w="1022"/>
            <w:tcBorders>
              <w:top w:val="single" w:color="333333" w:sz="1"/>
              <w:left w:val="single" w:color="333333" w:sz="1"/>
              <w:bottom w:val="single" w:color="333333" w:sz="1"/>
              <w:right w:val="single" w:color="333333"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w:t>
            </w:r>
          </w:p>
        </w:tc>
        <w:tc>
          <w:tcPr>
            <w:tcW w:type="dxa" w:w="4499"/>
            <w:tcBorders>
              <w:top w:val="single" w:color="333333" w:sz="1"/>
              <w:left w:val="single" w:color="333333" w:sz="1"/>
              <w:bottom w:val="single" w:color="333333" w:sz="1"/>
              <w:right w:val="single" w:color="333333"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Estado del efector final (abierto / cerrado)</w:t>
            </w:r>
          </w:p>
        </w:tc>
      </w:tr>
      <w:tr>
        <w:tc>
          <w:tcPr>
            <w:tcW w:type="dxa" w:w="3067"/>
            <w:tcBorders>
              <w:top w:val="single" w:color="333333" w:sz="1"/>
              <w:left w:val="single" w:color="333333" w:sz="1"/>
              <w:bottom w:val="single" w:color="333333" w:sz="1"/>
              <w:right w:val="single" w:color="333333"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ur5/cmd/pid</w:t>
            </w:r>
          </w:p>
        </w:tc>
        <w:tc>
          <w:tcPr>
            <w:tcW w:type="dxa" w:w="1636"/>
            <w:tcBorders>
              <w:top w:val="single" w:color="333333" w:sz="1"/>
              <w:left w:val="single" w:color="333333" w:sz="1"/>
              <w:bottom w:val="single" w:color="333333" w:sz="1"/>
              <w:right w:val="single" w:color="333333"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Front → Bridge</w:t>
            </w:r>
          </w:p>
        </w:tc>
        <w:tc>
          <w:tcPr>
            <w:tcW w:type="dxa" w:w="1022"/>
            <w:tcBorders>
              <w:top w:val="single" w:color="333333" w:sz="1"/>
              <w:left w:val="single" w:color="333333" w:sz="1"/>
              <w:bottom w:val="single" w:color="333333" w:sz="1"/>
              <w:right w:val="single" w:color="333333"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w:t>
            </w:r>
          </w:p>
        </w:tc>
        <w:tc>
          <w:tcPr>
            <w:tcW w:type="dxa" w:w="4499"/>
            <w:tcBorders>
              <w:top w:val="single" w:color="333333" w:sz="1"/>
              <w:left w:val="single" w:color="333333" w:sz="1"/>
              <w:bottom w:val="single" w:color="333333" w:sz="1"/>
              <w:right w:val="single" w:color="333333"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Parámetros de sintonía PID (Kp, Ki, Kd)</w:t>
            </w:r>
          </w:p>
        </w:tc>
      </w:tr>
      <w:tr>
        <w:tc>
          <w:tcPr>
            <w:tcW w:type="dxa" w:w="3067"/>
            <w:tcBorders>
              <w:top w:val="single" w:color="333333" w:sz="1"/>
              <w:left w:val="single" w:color="333333" w:sz="1"/>
              <w:bottom w:val="single" w:color="333333" w:sz="1"/>
              <w:right w:val="single" w:color="333333"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ur5/state/joints</w:t>
            </w:r>
          </w:p>
        </w:tc>
        <w:tc>
          <w:tcPr>
            <w:tcW w:type="dxa" w:w="1636"/>
            <w:tcBorders>
              <w:top w:val="single" w:color="333333" w:sz="1"/>
              <w:left w:val="single" w:color="333333" w:sz="1"/>
              <w:bottom w:val="single" w:color="333333" w:sz="1"/>
              <w:right w:val="single" w:color="333333"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Bridge → Front</w:t>
            </w:r>
          </w:p>
        </w:tc>
        <w:tc>
          <w:tcPr>
            <w:tcW w:type="dxa" w:w="1022"/>
            <w:tcBorders>
              <w:top w:val="single" w:color="333333" w:sz="1"/>
              <w:left w:val="single" w:color="333333" w:sz="1"/>
              <w:bottom w:val="single" w:color="333333" w:sz="1"/>
              <w:right w:val="single" w:color="333333"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w:t>
            </w:r>
          </w:p>
        </w:tc>
        <w:tc>
          <w:tcPr>
            <w:tcW w:type="dxa" w:w="4499"/>
            <w:tcBorders>
              <w:top w:val="single" w:color="333333" w:sz="1"/>
              <w:left w:val="single" w:color="333333" w:sz="1"/>
              <w:bottom w:val="single" w:color="333333" w:sz="1"/>
              <w:right w:val="single" w:color="333333"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Posiciones articulares actuales del simulador</w:t>
            </w:r>
          </w:p>
        </w:tc>
      </w:tr>
      <w:tr>
        <w:tc>
          <w:tcPr>
            <w:tcW w:type="dxa" w:w="3067"/>
            <w:tcBorders>
              <w:top w:val="single" w:color="333333" w:sz="1"/>
              <w:left w:val="single" w:color="333333" w:sz="1"/>
              <w:bottom w:val="single" w:color="333333" w:sz="1"/>
              <w:right w:val="single" w:color="333333"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ur5/state/pid</w:t>
            </w:r>
          </w:p>
        </w:tc>
        <w:tc>
          <w:tcPr>
            <w:tcW w:type="dxa" w:w="1636"/>
            <w:tcBorders>
              <w:top w:val="single" w:color="333333" w:sz="1"/>
              <w:left w:val="single" w:color="333333" w:sz="1"/>
              <w:bottom w:val="single" w:color="333333" w:sz="1"/>
              <w:right w:val="single" w:color="333333"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Bridge → Front</w:t>
            </w:r>
          </w:p>
        </w:tc>
        <w:tc>
          <w:tcPr>
            <w:tcW w:type="dxa" w:w="1022"/>
            <w:tcBorders>
              <w:top w:val="single" w:color="333333" w:sz="1"/>
              <w:left w:val="single" w:color="333333" w:sz="1"/>
              <w:bottom w:val="single" w:color="333333" w:sz="1"/>
              <w:right w:val="single" w:color="333333"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w:t>
            </w:r>
          </w:p>
        </w:tc>
        <w:tc>
          <w:tcPr>
            <w:tcW w:type="dxa" w:w="4499"/>
            <w:tcBorders>
              <w:top w:val="single" w:color="333333" w:sz="1"/>
              <w:left w:val="single" w:color="333333" w:sz="1"/>
              <w:bottom w:val="single" w:color="333333" w:sz="1"/>
              <w:right w:val="single" w:color="333333"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Estado del PID: setpoint, error, salida, términos P/I/D</w:t>
            </w:r>
          </w:p>
        </w:tc>
      </w:tr>
      <w:tr>
        <w:tc>
          <w:tcPr>
            <w:tcW w:type="dxa" w:w="3067"/>
            <w:tcBorders>
              <w:top w:val="single" w:color="333333" w:sz="1"/>
              <w:left w:val="single" w:color="333333" w:sz="1"/>
              <w:bottom w:val="single" w:color="333333" w:sz="1"/>
              <w:right w:val="single" w:color="333333"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ur5/state/sensors</w:t>
            </w:r>
          </w:p>
        </w:tc>
        <w:tc>
          <w:tcPr>
            <w:tcW w:type="dxa" w:w="1636"/>
            <w:tcBorders>
              <w:top w:val="single" w:color="333333" w:sz="1"/>
              <w:left w:val="single" w:color="333333" w:sz="1"/>
              <w:bottom w:val="single" w:color="333333" w:sz="1"/>
              <w:right w:val="single" w:color="333333"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Bridge → Front</w:t>
            </w:r>
          </w:p>
        </w:tc>
        <w:tc>
          <w:tcPr>
            <w:tcW w:type="dxa" w:w="1022"/>
            <w:tcBorders>
              <w:top w:val="single" w:color="333333" w:sz="1"/>
              <w:left w:val="single" w:color="333333" w:sz="1"/>
              <w:bottom w:val="single" w:color="333333" w:sz="1"/>
              <w:right w:val="single" w:color="333333"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w:t>
            </w:r>
          </w:p>
        </w:tc>
        <w:tc>
          <w:tcPr>
            <w:tcW w:type="dxa" w:w="4499"/>
            <w:tcBorders>
              <w:top w:val="single" w:color="333333" w:sz="1"/>
              <w:left w:val="single" w:color="333333" w:sz="1"/>
              <w:bottom w:val="single" w:color="333333" w:sz="1"/>
              <w:right w:val="single" w:color="333333"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Datos de sensores: temperatura del motor y fuerza del gripper</w:t>
            </w:r>
          </w:p>
        </w:tc>
      </w:tr>
      <w:tr>
        <w:tc>
          <w:tcPr>
            <w:tcW w:type="dxa" w:w="3067"/>
            <w:tcBorders>
              <w:top w:val="single" w:color="333333" w:sz="1"/>
              <w:left w:val="single" w:color="333333" w:sz="1"/>
              <w:bottom w:val="single" w:color="333333" w:sz="1"/>
              <w:right w:val="single" w:color="333333"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ur5/status</w:t>
            </w:r>
          </w:p>
        </w:tc>
        <w:tc>
          <w:tcPr>
            <w:tcW w:type="dxa" w:w="1636"/>
            <w:tcBorders>
              <w:top w:val="single" w:color="333333" w:sz="1"/>
              <w:left w:val="single" w:color="333333" w:sz="1"/>
              <w:bottom w:val="single" w:color="333333" w:sz="1"/>
              <w:right w:val="single" w:color="333333"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Bridge → Front</w:t>
            </w:r>
          </w:p>
        </w:tc>
        <w:tc>
          <w:tcPr>
            <w:tcW w:type="dxa" w:w="1022"/>
            <w:tcBorders>
              <w:top w:val="single" w:color="333333" w:sz="1"/>
              <w:left w:val="single" w:color="333333" w:sz="1"/>
              <w:bottom w:val="single" w:color="333333" w:sz="1"/>
              <w:right w:val="single" w:color="333333" w:sz="1"/>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w:t>
            </w:r>
          </w:p>
        </w:tc>
        <w:tc>
          <w:tcPr>
            <w:tcW w:type="dxa" w:w="4499"/>
            <w:tcBorders>
              <w:top w:val="single" w:color="333333" w:sz="1"/>
              <w:left w:val="single" w:color="333333" w:sz="1"/>
              <w:bottom w:val="single" w:color="333333" w:sz="1"/>
              <w:right w:val="single" w:color="333333" w:sz="1"/>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Estado de conexión (modo live, demo u offline)</w:t>
            </w:r>
          </w:p>
        </w:tc>
      </w:tr>
    </w:tbl>
    <w:p>
      <w:pPr>
        <w:spacing w:after="160" w:before="280"/>
        <w:jc w:val="center"/>
      </w:pPr>
      <w:r>
        <w:rPr>
          <w:rFonts w:ascii="Times New Roman" w:cs="Times New Roman" w:eastAsia="Times New Roman" w:hAnsi="Times New Roman"/>
          <w:b/>
          <w:bCs/>
          <w:sz w:val="22"/>
          <w:szCs w:val="22"/>
        </w:rPr>
        <w:t xml:space="preserve">VI. TRANSMISIÓN DE VIDEO EN TIEMPO REAL</w:t>
      </w:r>
    </w:p>
    <w:p>
      <w:pPr>
        <w:spacing w:after="120" w:line="264"/>
        <w:jc w:val="both"/>
      </w:pPr>
      <w:r>
        <w:rPr>
          <w:rFonts w:ascii="Times New Roman" w:cs="Times New Roman" w:eastAsia="Times New Roman" w:hAnsi="Times New Roman"/>
          <w:sz w:val="20"/>
          <w:szCs w:val="20"/>
        </w:rPr>
        <w:t xml:space="preserve">La retroalimentación visual constituye un elemento esencial en cualquier sistema de teleoperación, ya que el operador necesita observar el comportamiento del manipulador para ajustar sus comandos de manera apropiada. Con este fin, se desarrolló un servidor de streaming basado en Flask que captura fotogramas del viewport de CoppeliaSim y los transmite como un flujo MJPEG (Motion JPEG) accesible desde el navegador.</w:t>
      </w:r>
    </w:p>
    <w:p>
      <w:pPr>
        <w:spacing w:after="120" w:line="264"/>
        <w:ind w:firstLine="360"/>
        <w:jc w:val="both"/>
      </w:pPr>
      <w:r>
        <w:rPr>
          <w:rFonts w:ascii="Times New Roman" w:cs="Times New Roman" w:eastAsia="Times New Roman" w:hAnsi="Times New Roman"/>
          <w:sz w:val="20"/>
          <w:szCs w:val="20"/>
        </w:rPr>
        <w:t xml:space="preserve">El servidor emplea tres hilos concurrentes: un productor de fotogramas que invoca sim.getVisionSensorImg a la frecuencia configurada (15 FPS por defecto) y almacena la imagen más reciente en un buffer compartido protegido por un mutex; un hilo de reconeción que intenta restablecer la comunicación con CoppeliaSim cada diez segundos en caso de pérdida de conexión; y un suscriptor MQTT que recibe las posiciones articulares del puente para alimentar el modo de visualización alternativo.</w:t>
      </w:r>
    </w:p>
    <w:p>
      <w:pPr>
        <w:spacing w:after="120" w:line="264"/>
        <w:ind w:firstLine="360"/>
        <w:jc w:val="both"/>
      </w:pPr>
      <w:r>
        <w:rPr>
          <w:rFonts w:ascii="Times New Roman" w:cs="Times New Roman" w:eastAsia="Times New Roman" w:hAnsi="Times New Roman"/>
          <w:sz w:val="20"/>
          <w:szCs w:val="20"/>
        </w:rPr>
        <w:t xml:space="preserve">Cuando el sensor de visión no se encuentra disponible en la escena de CoppeliaSim, el servidor genera automáticamente una animación procedural que representa el brazo robótico en dos dimensiones utilizando la biblioteca Pillow. Esta representación consume los ángulos articulares reales recibidos por MQTT, de modo que el operador puede observar los movimientos del robot incluso sin la renderización tridimensional completa del simulador.</w:t>
      </w:r>
    </w:p>
    <w:p>
      <w:pPr>
        <w:spacing w:after="160" w:before="280"/>
        <w:jc w:val="center"/>
      </w:pPr>
      <w:r>
        <w:rPr>
          <w:rFonts w:ascii="Times New Roman" w:cs="Times New Roman" w:eastAsia="Times New Roman" w:hAnsi="Times New Roman"/>
          <w:b/>
          <w:bCs/>
          <w:sz w:val="22"/>
          <w:szCs w:val="22"/>
        </w:rPr>
        <w:t xml:space="preserve">VII. ACCESO REMOTO Y DESPLIEGUE</w:t>
      </w:r>
    </w:p>
    <w:p>
      <w:pPr>
        <w:spacing w:after="120" w:line="264"/>
        <w:jc w:val="both"/>
      </w:pPr>
      <w:r>
        <w:rPr>
          <w:rFonts w:ascii="Times New Roman" w:cs="Times New Roman" w:eastAsia="Times New Roman" w:hAnsi="Times New Roman"/>
          <w:sz w:val="20"/>
          <w:szCs w:val="20"/>
        </w:rPr>
        <w:t xml:space="preserve">Para posibilitar la operación del robot desde ubicaciones remotas, el sistema integra un mecanismo de túneles cifrados mediante Ngrok. Este servicio establece conexiones TLS salientes desde la máquina local hacia sus servidores de retransmisión, generando URLs públicas temporales que redirigen el tráfico hacia los puertos locales. La configuración implementada expone tres túneles simultáneos: uno para el front-end en el puerto 5173, otro para el WebSocket MQTT en el puerto 9001, y un tercero para el flujo de video en el puerto 8081.</w:t>
      </w:r>
    </w:p>
    <w:p>
      <w:pPr>
        <w:spacing w:after="120" w:line="264"/>
        <w:ind w:firstLine="360"/>
        <w:jc w:val="both"/>
      </w:pPr>
      <w:r>
        <w:rPr>
          <w:rFonts w:ascii="Times New Roman" w:cs="Times New Roman" w:eastAsia="Times New Roman" w:hAnsi="Times New Roman"/>
          <w:sz w:val="20"/>
          <w:szCs w:val="20"/>
        </w:rPr>
        <w:t xml:space="preserve">La ventaja de este enfoque frente a alternativas como el reenvío de puertos en el router es que no requiere configuración de la red local ni una dirección IP estática. Además, el cifrado TLS se aplica de extremo a extremo, lo que protege tanto los comandos articulares como el flujo de video ante posibles interceptaciones durante el tránsito por la red pública.</w:t>
      </w:r>
    </w:p>
    <w:p>
      <w:pPr>
        <w:spacing w:after="120" w:line="264"/>
        <w:ind w:firstLine="360"/>
        <w:jc w:val="both"/>
      </w:pPr>
      <w:r>
        <w:rPr>
          <w:rFonts w:ascii="Times New Roman" w:cs="Times New Roman" w:eastAsia="Times New Roman" w:hAnsi="Times New Roman"/>
          <w:sz w:val="20"/>
          <w:szCs w:val="20"/>
        </w:rPr>
        <w:t xml:space="preserve">El procedimiento de despliegue se automatiza a través de scripts Bash (setup.sh, start.sh, start_remote.sh) que instalan las dependencias necesarias, inician los cuatro servicios del sistema y abren los túneles de acceso. Un script maestro gestiona los identificadores de proceso de cada servicio y los detiene ordenadamente cuando el usuario interrumpe la ejecución con la señal SIGINT.</w:t>
      </w:r>
    </w:p>
    <w:p>
      <w:pPr>
        <w:spacing w:after="160" w:before="280"/>
        <w:jc w:val="center"/>
      </w:pPr>
      <w:r>
        <w:rPr>
          <w:rFonts w:ascii="Times New Roman" w:cs="Times New Roman" w:eastAsia="Times New Roman" w:hAnsi="Times New Roman"/>
          <w:b/>
          <w:bCs/>
          <w:sz w:val="22"/>
          <w:szCs w:val="22"/>
        </w:rPr>
        <w:t xml:space="preserve">VIII. CONCLUSIONES Y TRABAJO FUTURO</w:t>
      </w:r>
    </w:p>
    <w:p>
      <w:pPr>
        <w:spacing w:after="120" w:line="264"/>
        <w:jc w:val="both"/>
      </w:pPr>
      <w:r>
        <w:rPr>
          <w:rFonts w:ascii="Times New Roman" w:cs="Times New Roman" w:eastAsia="Times New Roman" w:hAnsi="Times New Roman"/>
          <w:sz w:val="20"/>
          <w:szCs w:val="20"/>
        </w:rPr>
        <w:t xml:space="preserve">En el presente trabajo se ha diseñado e implementado un sistema completo de teleoperación para el brazo robótico UR5, demostrando que el protocolo MQTT es una alternativa viable y eficiente para la comunicación en tiempo real entre interfaces web y simuladores robóticos. La arquitectura modular propuesta permite separar claramente las responsabilidades de cada componente: el broker administra la mensajería, el puente Python traduce entre protocolos, el simulador ejecuta la física y la interfaz presenta la información al operador.</w:t>
      </w:r>
    </w:p>
    <w:p>
      <w:pPr>
        <w:spacing w:after="120" w:line="264"/>
        <w:ind w:firstLine="360"/>
        <w:jc w:val="both"/>
      </w:pPr>
      <w:r>
        <w:rPr>
          <w:rFonts w:ascii="Times New Roman" w:cs="Times New Roman" w:eastAsia="Times New Roman" w:hAnsi="Times New Roman"/>
          <w:sz w:val="20"/>
          <w:szCs w:val="20"/>
        </w:rPr>
        <w:t xml:space="preserve">El mecanismo de descubrimiento automático de articulaciones resuelve un problema práctico frecuente al trabajar con distintas versiones de modelos robóticos en CoppeliaSim, y el modo de demostración asegura que el sistema mantenga su funcionalidad básica aun cuando el simulador no esté ejecutándose.</w:t>
      </w:r>
    </w:p>
    <w:p>
      <w:pPr>
        <w:spacing w:after="120" w:line="264"/>
        <w:ind w:firstLine="360"/>
        <w:jc w:val="both"/>
      </w:pPr>
      <w:r>
        <w:rPr>
          <w:rFonts w:ascii="Times New Roman" w:cs="Times New Roman" w:eastAsia="Times New Roman" w:hAnsi="Times New Roman"/>
          <w:sz w:val="20"/>
          <w:szCs w:val="20"/>
        </w:rPr>
        <w:t xml:space="preserve">Como líneas futuras de desarrollo se contempla la incorporación de planificación de trayectorias en el espacio cartesiano, la migración del controlador PID a un esquema de control por torque computado que considere la dinámica completa del manipulador, la implementación de seguridad TLS en el broker MQTT mediante certificados, y la conexión con un brazo UR5 físico a través de la interfaz de comunicación real del robot reemplazando las llamadas a CoppeliaSim por el protocolo URScript nativo.</w:t>
      </w:r>
    </w:p>
    <w:p>
      <w:pPr>
        <w:spacing w:after="160" w:before="280"/>
        <w:jc w:val="center"/>
      </w:pPr>
      <w:r>
        <w:rPr>
          <w:rFonts w:ascii="Times New Roman" w:cs="Times New Roman" w:eastAsia="Times New Roman" w:hAnsi="Times New Roman"/>
          <w:b/>
          <w:bCs/>
          <w:sz w:val="22"/>
          <w:szCs w:val="22"/>
        </w:rPr>
        <w:t xml:space="preserve">. REFERENCIAS</w:t>
      </w:r>
    </w:p>
    <w:p>
      <w:pPr>
        <w:spacing w:after="80"/>
        <w:ind w:left="360" w:hanging="360"/>
      </w:pPr>
      <w:r>
        <w:rPr>
          <w:rFonts w:ascii="Times New Roman" w:cs="Times New Roman" w:eastAsia="Times New Roman" w:hAnsi="Times New Roman"/>
          <w:sz w:val="18"/>
          <w:szCs w:val="18"/>
        </w:rPr>
        <w:t xml:space="preserve">[1] </w:t>
      </w:r>
      <w:r>
        <w:rPr>
          <w:rFonts w:ascii="Times New Roman" w:cs="Times New Roman" w:eastAsia="Times New Roman" w:hAnsi="Times New Roman"/>
          <w:sz w:val="18"/>
          <w:szCs w:val="18"/>
        </w:rPr>
        <w:t xml:space="preserve">Universal Robots, “UR5 Technical Specifications,” Universal Robots A/S, Odense, Denmark, 2023. [En línea]. Disponible: https://www.universal-robots.com/products/ur5-robot/</w:t>
      </w:r>
    </w:p>
    <w:p>
      <w:pPr>
        <w:spacing w:after="80"/>
        <w:ind w:left="360" w:hanging="360"/>
      </w:pPr>
      <w:r>
        <w:rPr>
          <w:rFonts w:ascii="Times New Roman" w:cs="Times New Roman" w:eastAsia="Times New Roman" w:hAnsi="Times New Roman"/>
          <w:sz w:val="18"/>
          <w:szCs w:val="18"/>
        </w:rPr>
        <w:t xml:space="preserve">[2] </w:t>
      </w:r>
      <w:r>
        <w:rPr>
          <w:rFonts w:ascii="Times New Roman" w:cs="Times New Roman" w:eastAsia="Times New Roman" w:hAnsi="Times New Roman"/>
          <w:sz w:val="18"/>
          <w:szCs w:val="18"/>
        </w:rPr>
        <w:t xml:space="preserve">A. Banks y R. Gupta, “MQTT Version 5.0 – OASIS Standard,” OASIS Open, Burlington, MA, 2019. [En línea]. Disponible: https://docs.oasis-open.org/mqtt/mqtt/v5.0/mqtt-v5.0.html</w:t>
      </w:r>
    </w:p>
    <w:p>
      <w:pPr>
        <w:spacing w:after="80"/>
        <w:ind w:left="360" w:hanging="360"/>
      </w:pPr>
      <w:r>
        <w:rPr>
          <w:rFonts w:ascii="Times New Roman" w:cs="Times New Roman" w:eastAsia="Times New Roman" w:hAnsi="Times New Roman"/>
          <w:sz w:val="18"/>
          <w:szCs w:val="18"/>
        </w:rPr>
        <w:t xml:space="preserve">[3] </w:t>
      </w:r>
      <w:r>
        <w:rPr>
          <w:rFonts w:ascii="Times New Roman" w:cs="Times New Roman" w:eastAsia="Times New Roman" w:hAnsi="Times New Roman"/>
          <w:sz w:val="18"/>
          <w:szCs w:val="18"/>
        </w:rPr>
        <w:t xml:space="preserve">Coppelia Robotics, “CoppeliaSim User Manual – ZeroMQ Remote API,” Coppelia Robotics AG, Zürich, 2024. [En línea]. Disponible: https://manual.coppeliarobotics.com/</w:t>
      </w:r>
    </w:p>
    <w:p>
      <w:pPr>
        <w:spacing w:after="80"/>
        <w:ind w:left="360" w:hanging="360"/>
      </w:pPr>
      <w:r>
        <w:rPr>
          <w:rFonts w:ascii="Times New Roman" w:cs="Times New Roman" w:eastAsia="Times New Roman" w:hAnsi="Times New Roman"/>
          <w:sz w:val="18"/>
          <w:szCs w:val="18"/>
        </w:rPr>
        <w:t xml:space="preserve">[4] </w:t>
      </w:r>
      <w:r>
        <w:rPr>
          <w:rFonts w:ascii="Times New Roman" w:cs="Times New Roman" w:eastAsia="Times New Roman" w:hAnsi="Times New Roman"/>
          <w:sz w:val="18"/>
          <w:szCs w:val="18"/>
        </w:rPr>
        <w:t xml:space="preserve">R. Light, “Eclipse Mosquitto – An Open Source MQTT Broker,” Eclipse Foundation, Ottawa, 2023. [En línea]. Disponible: https://mosquitto.org/</w:t>
      </w:r>
    </w:p>
    <w:p>
      <w:pPr>
        <w:spacing w:after="80"/>
        <w:ind w:left="360" w:hanging="360"/>
      </w:pPr>
      <w:r>
        <w:rPr>
          <w:rFonts w:ascii="Times New Roman" w:cs="Times New Roman" w:eastAsia="Times New Roman" w:hAnsi="Times New Roman"/>
          <w:sz w:val="18"/>
          <w:szCs w:val="18"/>
        </w:rPr>
        <w:t xml:space="preserve">[5] </w:t>
      </w:r>
      <w:r>
        <w:rPr>
          <w:rFonts w:ascii="Times New Roman" w:cs="Times New Roman" w:eastAsia="Times New Roman" w:hAnsi="Times New Roman"/>
          <w:sz w:val="18"/>
          <w:szCs w:val="18"/>
        </w:rPr>
        <w:t xml:space="preserve">Eclipse Foundation, “Eclipse Paho MQTT Python Client Library,” Eclipse Foundation, 2024. [En línea]. Disponible: https://github.com/eclipse/paho.mqtt.python</w:t>
      </w:r>
    </w:p>
    <w:p>
      <w:pPr>
        <w:spacing w:after="80"/>
        <w:ind w:left="360" w:hanging="360"/>
      </w:pPr>
      <w:r>
        <w:rPr>
          <w:rFonts w:ascii="Times New Roman" w:cs="Times New Roman" w:eastAsia="Times New Roman" w:hAnsi="Times New Roman"/>
          <w:sz w:val="18"/>
          <w:szCs w:val="18"/>
        </w:rPr>
        <w:t xml:space="preserve">[6] </w:t>
      </w:r>
      <w:r>
        <w:rPr>
          <w:rFonts w:ascii="Times New Roman" w:cs="Times New Roman" w:eastAsia="Times New Roman" w:hAnsi="Times New Roman"/>
          <w:sz w:val="18"/>
          <w:szCs w:val="18"/>
        </w:rPr>
        <w:t xml:space="preserve">K. J. Åström y T. Hägglund, “Advanced PID Control,” ISA – The Instrumentation, Systems, and Automation Society, Research Triangle Park, NC, 2006.</w:t>
      </w:r>
    </w:p>
    <w:p>
      <w:pPr>
        <w:spacing w:after="80"/>
        <w:ind w:left="360" w:hanging="360"/>
      </w:pPr>
      <w:r>
        <w:rPr>
          <w:rFonts w:ascii="Times New Roman" w:cs="Times New Roman" w:eastAsia="Times New Roman" w:hAnsi="Times New Roman"/>
          <w:sz w:val="18"/>
          <w:szCs w:val="18"/>
        </w:rPr>
        <w:t xml:space="preserve">[7] </w:t>
      </w:r>
      <w:r>
        <w:rPr>
          <w:rFonts w:ascii="Times New Roman" w:cs="Times New Roman" w:eastAsia="Times New Roman" w:hAnsi="Times New Roman"/>
          <w:sz w:val="18"/>
          <w:szCs w:val="18"/>
        </w:rPr>
        <w:t xml:space="preserve">P. Hintjens, “ZeroMQ: Messaging for Many Applications,” O’Reilly Media, Sebastopol, CA, 2013.</w:t>
      </w:r>
    </w:p>
    <w:p>
      <w:pPr>
        <w:spacing w:after="80"/>
        <w:ind w:left="360" w:hanging="360"/>
      </w:pPr>
      <w:r>
        <w:rPr>
          <w:rFonts w:ascii="Times New Roman" w:cs="Times New Roman" w:eastAsia="Times New Roman" w:hAnsi="Times New Roman"/>
          <w:sz w:val="18"/>
          <w:szCs w:val="18"/>
        </w:rPr>
        <w:t xml:space="preserve">[8] </w:t>
      </w:r>
      <w:r>
        <w:rPr>
          <w:rFonts w:ascii="Times New Roman" w:cs="Times New Roman" w:eastAsia="Times New Roman" w:hAnsi="Times New Roman"/>
          <w:sz w:val="18"/>
          <w:szCs w:val="18"/>
        </w:rPr>
        <w:t xml:space="preserve">J. Craig, “Introduction to Robotics: Mechanics and Control,” 4th ed., Pearson, Upper Saddle River, NJ, 2017.</w:t>
      </w:r>
    </w:p>
    <w:sectPr>
      <w:headerReference w:type="default" r:id="rId7"/>
      <w:footerReference w:type="default" r:id="rId8"/>
      <w:type w:val="continuous"/>
      <w:pgSz w:w="12240" w:h="15840" w:orient="portrait"/>
      <w:pgMar w:top="1152" w:right="1008" w:bottom="1152"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666666"/>
        <w:sz w:val="16"/>
        <w:szCs w:val="16"/>
      </w:rPr>
      <w:t xml:space="preserve">Informe Técnico — Control Remoto UR5 mediante MQTT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2026-03-28T07:12:30.136Z</dcterms:created>
  <dcterms:modified xsi:type="dcterms:W3CDTF">2026-03-28T07:12:30.136Z</dcterms:modified>
</cp:coreProperties>
</file>

<file path=docProps/custom.xml><?xml version="1.0" encoding="utf-8"?>
<Properties xmlns="http://schemas.openxmlformats.org/officeDocument/2006/custom-properties" xmlns:vt="http://schemas.openxmlformats.org/officeDocument/2006/docPropsVTypes"/>
</file>