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PHỤ LỤC BỔ SUNG: NÂNG CẤP MULTI-ASSET PPO VÀ CHỐNG OVERFITTING</w:t>
      </w:r>
    </w:p>
    <w:p>
      <w:pPr>
        <w:jc w:val="center"/>
      </w:pPr>
      <w:r>
        <w:rPr>
          <w:i/>
        </w:rPr>
        <w:t>Tài liệu bổ sung cho báo cáo TTCS_MOCK2, không thay thế PDF gốc</w:t>
      </w:r>
    </w:p>
    <w:p>
      <w:r>
        <w:t>Phụ lục này tập trung vào các phần giảng viên yêu cầu làm rõ thêm: nghiên cứu liên quan về trading bot, điểm giống/khác so với các hướng phổ biến, các kỹ thuật giảm overfitting theo thực hành nghiên cứu, và các nâng cấp đã triển khai trong hệ thống mới. Nội dung lý thuyết PPO, DQN, A2C, TRPO đã có trong PDF gốc nên không lặp lại.</w:t>
      </w:r>
    </w:p>
    <w:p>
      <w:pPr>
        <w:pStyle w:val="Heading1"/>
      </w:pPr>
      <w:r>
        <w:t>1. Survey ngắn về Trading Bot và RL Trading</w:t>
      </w:r>
    </w:p>
    <w:p>
      <w:r>
        <w:t>Trading bot là hướng phổ biến, vì vậy đóng góp của nhóm cần được đặt cạnh các nhóm phương pháp thường gặp thay vì chỉ mô tả PPO riêng lẻ.</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b/>
              </w:rPr>
              <w:t>Hướng tiếp cận</w:t>
            </w:r>
          </w:p>
        </w:tc>
        <w:tc>
          <w:tcPr>
            <w:tcW w:type="dxa" w:w="2448"/>
          </w:tcPr>
          <w:p>
            <w:r>
              <w:rPr>
                <w:b/>
              </w:rPr>
              <w:t>Mô tả</w:t>
            </w:r>
          </w:p>
        </w:tc>
        <w:tc>
          <w:tcPr>
            <w:tcW w:type="dxa" w:w="2448"/>
          </w:tcPr>
          <w:p>
            <w:r>
              <w:rPr>
                <w:b/>
              </w:rPr>
              <w:t>Điểm mạnh</w:t>
            </w:r>
          </w:p>
        </w:tc>
        <w:tc>
          <w:tcPr>
            <w:tcW w:type="dxa" w:w="2448"/>
          </w:tcPr>
          <w:p>
            <w:r>
              <w:rPr>
                <w:b/>
              </w:rPr>
              <w:t>Hạn chế</w:t>
            </w:r>
          </w:p>
        </w:tc>
      </w:tr>
      <w:tr>
        <w:tc>
          <w:tcPr>
            <w:tcW w:type="dxa" w:w="2448"/>
          </w:tcPr>
          <w:p>
            <w:r>
              <w:t>Rule-based bot</w:t>
            </w:r>
          </w:p>
        </w:tc>
        <w:tc>
          <w:tcPr>
            <w:tcW w:type="dxa" w:w="2448"/>
          </w:tcPr>
          <w:p>
            <w:r>
              <w:t>Dùng luật cố định như MA crossover, RSI, MACD.</w:t>
            </w:r>
          </w:p>
        </w:tc>
        <w:tc>
          <w:tcPr>
            <w:tcW w:type="dxa" w:w="2448"/>
          </w:tcPr>
          <w:p>
            <w:r>
              <w:t>Dễ hiểu, dễ kiểm thử, phù hợp làm baseline.</w:t>
            </w:r>
          </w:p>
        </w:tc>
        <w:tc>
          <w:tcPr>
            <w:tcW w:type="dxa" w:w="2448"/>
          </w:tcPr>
          <w:p>
            <w:r>
              <w:t>Kém thích nghi khi regime thị trường đổi.</w:t>
            </w:r>
          </w:p>
        </w:tc>
      </w:tr>
      <w:tr>
        <w:tc>
          <w:tcPr>
            <w:tcW w:type="dxa" w:w="2448"/>
          </w:tcPr>
          <w:p>
            <w:r>
              <w:t>Supervised ML</w:t>
            </w:r>
          </w:p>
        </w:tc>
        <w:tc>
          <w:tcPr>
            <w:tcW w:type="dxa" w:w="2448"/>
          </w:tcPr>
          <w:p>
            <w:r>
              <w:t>Dự đoán hướng giá/return bằng nhãn lịch sử.</w:t>
            </w:r>
          </w:p>
        </w:tc>
        <w:tc>
          <w:tcPr>
            <w:tcW w:type="dxa" w:w="2448"/>
          </w:tcPr>
          <w:p>
            <w:r>
              <w:t>Metric rõ, pipeline quen thuộc.</w:t>
            </w:r>
          </w:p>
        </w:tc>
        <w:tc>
          <w:tcPr>
            <w:tcW w:type="dxa" w:w="2448"/>
          </w:tcPr>
          <w:p>
            <w:r>
              <w:t>Dự đoán đúng hướng chưa chắc tối ưu PnL sau phí.</w:t>
            </w:r>
          </w:p>
        </w:tc>
      </w:tr>
      <w:tr>
        <w:tc>
          <w:tcPr>
            <w:tcW w:type="dxa" w:w="2448"/>
          </w:tcPr>
          <w:p>
            <w:r>
              <w:t>DRL trading</w:t>
            </w:r>
          </w:p>
        </w:tc>
        <w:tc>
          <w:tcPr>
            <w:tcW w:type="dxa" w:w="2448"/>
          </w:tcPr>
          <w:p>
            <w:r>
              <w:t>Agent học chính sách giao dịch qua reward tài chính.</w:t>
            </w:r>
          </w:p>
        </w:tc>
        <w:tc>
          <w:tcPr>
            <w:tcW w:type="dxa" w:w="2448"/>
          </w:tcPr>
          <w:p>
            <w:r>
              <w:t>Có thể học HOLD/CLOSE/OPEN và quản trị rủi ro.</w:t>
            </w:r>
          </w:p>
        </w:tc>
        <w:tc>
          <w:tcPr>
            <w:tcW w:type="dxa" w:w="2448"/>
          </w:tcPr>
          <w:p>
            <w:r>
              <w:t>Dễ overfit nếu backtest và reward không chặt.</w:t>
            </w:r>
          </w:p>
        </w:tc>
      </w:tr>
      <w:tr>
        <w:tc>
          <w:tcPr>
            <w:tcW w:type="dxa" w:w="2448"/>
          </w:tcPr>
          <w:p>
            <w:r>
              <w:t>FinRL/framework</w:t>
            </w:r>
          </w:p>
        </w:tc>
        <w:tc>
          <w:tcPr>
            <w:tcW w:type="dxa" w:w="2448"/>
          </w:tcPr>
          <w:p>
            <w:r>
              <w:t>Chuẩn hóa data, environment, agent, evaluation.</w:t>
            </w:r>
          </w:p>
        </w:tc>
        <w:tc>
          <w:tcPr>
            <w:tcW w:type="dxa" w:w="2448"/>
          </w:tcPr>
          <w:p>
            <w:r>
              <w:t>Dễ tái lập nghiên cứu và so baseline.</w:t>
            </w:r>
          </w:p>
        </w:tc>
        <w:tc>
          <w:tcPr>
            <w:tcW w:type="dxa" w:w="2448"/>
          </w:tcPr>
          <w:p>
            <w:r>
              <w:t>Cần tùy biến cho crypto/SL-TP/order-flow.</w:t>
            </w:r>
          </w:p>
        </w:tc>
      </w:tr>
      <w:tr>
        <w:tc>
          <w:tcPr>
            <w:tcW w:type="dxa" w:w="2448"/>
          </w:tcPr>
          <w:p>
            <w:r>
              <w:t>Risk-aware/ensemble RL</w:t>
            </w:r>
          </w:p>
        </w:tc>
        <w:tc>
          <w:tcPr>
            <w:tcW w:type="dxa" w:w="2448"/>
          </w:tcPr>
          <w:p>
            <w:r>
              <w:t>Thêm Sharpe, drawdown, stress test hoặc nhiều agent.</w:t>
            </w:r>
          </w:p>
        </w:tc>
        <w:tc>
          <w:tcPr>
            <w:tcW w:type="dxa" w:w="2448"/>
          </w:tcPr>
          <w:p>
            <w:r>
              <w:t>Gần yêu cầu thực tế hơn.</w:t>
            </w:r>
          </w:p>
        </w:tc>
        <w:tc>
          <w:tcPr>
            <w:tcW w:type="dxa" w:w="2448"/>
          </w:tcPr>
          <w:p>
            <w:r>
              <w:t>Tốn compute và cần kiểm định rộng.</w:t>
            </w:r>
          </w:p>
        </w:tc>
      </w:tr>
    </w:tbl>
    <w:p/>
    <w:p>
      <w:pPr>
        <w:pStyle w:val="Heading1"/>
      </w:pPr>
      <w:r>
        <w:t>2. Điểm giống và khác của phương pháp nhóm</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b/>
              </w:rPr>
              <w:t>Tiêu chí</w:t>
            </w:r>
          </w:p>
        </w:tc>
        <w:tc>
          <w:tcPr>
            <w:tcW w:type="dxa" w:w="2448"/>
          </w:tcPr>
          <w:p>
            <w:r>
              <w:rPr>
                <w:b/>
              </w:rPr>
              <w:t>Nghiên cứu/mẫu phổ biến</w:t>
            </w:r>
          </w:p>
        </w:tc>
        <w:tc>
          <w:tcPr>
            <w:tcW w:type="dxa" w:w="2448"/>
          </w:tcPr>
          <w:p>
            <w:r>
              <w:rPr>
                <w:b/>
              </w:rPr>
              <w:t>Bản nâng cấp của nhóm</w:t>
            </w:r>
          </w:p>
        </w:tc>
        <w:tc>
          <w:tcPr>
            <w:tcW w:type="dxa" w:w="2448"/>
          </w:tcPr>
          <w:p>
            <w:r>
              <w:rPr>
                <w:b/>
              </w:rPr>
              <w:t>Ý nghĩa</w:t>
            </w:r>
          </w:p>
        </w:tc>
      </w:tr>
      <w:tr>
        <w:tc>
          <w:tcPr>
            <w:tcW w:type="dxa" w:w="2448"/>
          </w:tcPr>
          <w:p>
            <w:r>
              <w:t>Nguồn dữ liệu</w:t>
            </w:r>
          </w:p>
        </w:tc>
        <w:tc>
          <w:tcPr>
            <w:tcW w:type="dxa" w:w="2448"/>
          </w:tcPr>
          <w:p>
            <w:r>
              <w:t>CSV hoặc data provider cố định.</w:t>
            </w:r>
          </w:p>
        </w:tc>
        <w:tc>
          <w:tcPr>
            <w:tcW w:type="dxa" w:w="2448"/>
          </w:tcPr>
          <w:p>
            <w:r>
              <w:t>Dữ liệu lấy trực tiếp từ Binance API cho nhiều cặp USDT.</w:t>
            </w:r>
          </w:p>
        </w:tc>
        <w:tc>
          <w:tcPr>
            <w:tcW w:type="dxa" w:w="2448"/>
          </w:tcPr>
          <w:p>
            <w:r>
              <w:t>Tăng tính tái lập và sát môi trường thật.</w:t>
            </w:r>
          </w:p>
        </w:tc>
      </w:tr>
      <w:tr>
        <w:tc>
          <w:tcPr>
            <w:tcW w:type="dxa" w:w="2448"/>
          </w:tcPr>
          <w:p>
            <w:r>
              <w:t>Không gian hành động</w:t>
            </w:r>
          </w:p>
        </w:tc>
        <w:tc>
          <w:tcPr>
            <w:tcW w:type="dxa" w:w="2448"/>
          </w:tcPr>
          <w:p>
            <w:r>
              <w:t>Buy/Sell/Hold hoặc portfolio weight.</w:t>
            </w:r>
          </w:p>
        </w:tc>
        <w:tc>
          <w:tcPr>
            <w:tcW w:type="dxa" w:w="2448"/>
          </w:tcPr>
          <w:p>
            <w:r>
              <w:t>HOLD, CLOSE, OPEN long/short với SL/TP rời rạc.</w:t>
            </w:r>
          </w:p>
        </w:tc>
        <w:tc>
          <w:tcPr>
            <w:tcW w:type="dxa" w:w="2448"/>
          </w:tcPr>
          <w:p>
            <w:r>
              <w:t>Đưa quản trị rủi ro vào hành động.</w:t>
            </w:r>
          </w:p>
        </w:tc>
      </w:tr>
      <w:tr>
        <w:tc>
          <w:tcPr>
            <w:tcW w:type="dxa" w:w="2448"/>
          </w:tcPr>
          <w:p>
            <w:r>
              <w:t>Đa tài sản</w:t>
            </w:r>
          </w:p>
        </w:tc>
        <w:tc>
          <w:tcPr>
            <w:tcW w:type="dxa" w:w="2448"/>
          </w:tcPr>
          <w:p>
            <w:r>
              <w:t>Một số framework hỗ trợ nhiều ticker.</w:t>
            </w:r>
          </w:p>
        </w:tc>
        <w:tc>
          <w:tcPr>
            <w:tcW w:type="dxa" w:w="2448"/>
          </w:tcPr>
          <w:p>
            <w:r>
              <w:t>Mỗi symbol có model riêng nhưng dùng chung pipeline.</w:t>
            </w:r>
          </w:p>
        </w:tc>
        <w:tc>
          <w:tcPr>
            <w:tcW w:type="dxa" w:w="2448"/>
          </w:tcPr>
          <w:p>
            <w:r>
              <w:t>Dễ mở rộng NEAR/BTC/PAXG mà không tách code.</w:t>
            </w:r>
          </w:p>
        </w:tc>
      </w:tr>
      <w:tr>
        <w:tc>
          <w:tcPr>
            <w:tcW w:type="dxa" w:w="2448"/>
          </w:tcPr>
          <w:p>
            <w:r>
              <w:t>Đánh giá</w:t>
            </w:r>
          </w:p>
        </w:tc>
        <w:tc>
          <w:tcPr>
            <w:tcW w:type="dxa" w:w="2448"/>
          </w:tcPr>
          <w:p>
            <w:r>
              <w:t>Nhiều demo chỉ nhìn equity curve.</w:t>
            </w:r>
          </w:p>
        </w:tc>
        <w:tc>
          <w:tcPr>
            <w:tcW w:type="dxa" w:w="2448"/>
          </w:tcPr>
          <w:p>
            <w:r>
              <w:t>Thêm baseline, walk-forward, stress test, overfit report.</w:t>
            </w:r>
          </w:p>
        </w:tc>
        <w:tc>
          <w:tcPr>
            <w:tcW w:type="dxa" w:w="2448"/>
          </w:tcPr>
          <w:p>
            <w:r>
              <w:t>Giảm nguy cơ kết luận quá đẹp từ một backtest.</w:t>
            </w:r>
          </w:p>
        </w:tc>
      </w:tr>
      <w:tr>
        <w:tc>
          <w:tcPr>
            <w:tcW w:type="dxa" w:w="2448"/>
          </w:tcPr>
          <w:p>
            <w:r>
              <w:t>Triển khai</w:t>
            </w:r>
          </w:p>
        </w:tc>
        <w:tc>
          <w:tcPr>
            <w:tcW w:type="dxa" w:w="2448"/>
          </w:tcPr>
          <w:p>
            <w:r>
              <w:t>Script rời rạc.</w:t>
            </w:r>
          </w:p>
        </w:tc>
        <w:tc>
          <w:tcPr>
            <w:tcW w:type="dxa" w:w="2448"/>
          </w:tcPr>
          <w:p>
            <w:r>
              <w:t>UI dashboard hiển thị model đã có, metrics và charts sau train.</w:t>
            </w:r>
          </w:p>
        </w:tc>
        <w:tc>
          <w:tcPr>
            <w:tcW w:type="dxa" w:w="2448"/>
          </w:tcPr>
          <w:p>
            <w:r>
              <w:t>Dễ demo và vận hành nghiên cứu.</w:t>
            </w:r>
          </w:p>
        </w:tc>
      </w:tr>
    </w:tbl>
    <w:p/>
    <w:p>
      <w:pPr>
        <w:pStyle w:val="Heading1"/>
      </w:pPr>
      <w:r>
        <w:t>3. Kiến trúc nâng cấp</w:t>
      </w:r>
    </w:p>
    <w:p>
      <w:pPr>
        <w:pStyle w:val="ListBullet"/>
      </w:pPr>
      <w:r>
        <w:t>Code mới được gom vào src/trading_bot, gồm data, features, environment, training, evaluation, live signal và UI.</w:t>
      </w:r>
    </w:p>
    <w:p>
      <w:pPr>
        <w:pStyle w:val="ListBullet"/>
      </w:pPr>
      <w:r>
        <w:t>Model được lưu theo cấu trúc artifacts/models/&lt;symbol&gt;/&lt;timeframe&gt;/&lt;run_id&gt;, phù hợp khi có nhiều tài sản và nhiều lần train.</w:t>
      </w:r>
    </w:p>
    <w:p>
      <w:pPr>
        <w:pStyle w:val="ListBullet"/>
      </w:pPr>
      <w:r>
        <w:t>BTC, NEAR, ETH, SOL, PAXG và các cặp USDT khác dùng chung pipeline; điểm khác nhau nằm ở symbol, timeframe, số bước train và artifact.</w:t>
      </w:r>
    </w:p>
    <w:p>
      <w:pPr>
        <w:pStyle w:val="ListBullet"/>
      </w:pPr>
      <w:r>
        <w:t>Các script cũ được giữ lại làm legacy/reference, đặc biệt là model BTC/Gold 10M đã train trước đó.</w:t>
      </w:r>
    </w:p>
    <w:p>
      <w:pPr>
        <w:pStyle w:val="Heading1"/>
      </w:pPr>
      <w:r>
        <w:t>4. Bổ sung kỹ thuật chống Overfitting</w:t>
      </w:r>
    </w:p>
    <w:p>
      <w:r>
        <w:t>Trong bản cũ, nhóm đã có time-based split, train-only normalization và EvalCallback. Bản nâng cấp bổ sung thêm các kỹ thuật thường gặp trong nghiên cứu RL trading để đo và giảm nguy cơ overfitting thay vì chỉ thay tham số giao dịch.</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40" w:line="252" w:lineRule="auto"/>
            </w:pPr>
            <w:r>
              <w:rPr>
                <w:rFonts w:ascii="Arial" w:hAnsi="Arial"/>
                <w:b/>
                <w:color w:val="1F4E79"/>
                <w:sz w:val="18"/>
              </w:rPr>
              <w:t>Kỹ thuật</w:t>
            </w:r>
          </w:p>
        </w:tc>
        <w:tc>
          <w:tcPr>
            <w:tcW w:type="dxa" w:w="3264"/>
            <w:vAlign w:val="center"/>
            <w:shd w:fill="D9EAF7"/>
          </w:tcPr>
          <w:p>
            <w:pPr>
              <w:spacing w:after="40" w:line="252" w:lineRule="auto"/>
            </w:pPr>
            <w:r>
              <w:rPr>
                <w:rFonts w:ascii="Arial" w:hAnsi="Arial"/>
                <w:b/>
                <w:color w:val="1F4E79"/>
                <w:sz w:val="18"/>
              </w:rPr>
              <w:t>Cách áp dụng trong bản nâng cấp</w:t>
            </w:r>
          </w:p>
        </w:tc>
        <w:tc>
          <w:tcPr>
            <w:tcW w:type="dxa" w:w="3264"/>
            <w:vAlign w:val="center"/>
            <w:shd w:fill="D9EAF7"/>
          </w:tcPr>
          <w:p>
            <w:pPr>
              <w:spacing w:after="40" w:line="252" w:lineRule="auto"/>
            </w:pPr>
            <w:r>
              <w:rPr>
                <w:rFonts w:ascii="Arial" w:hAnsi="Arial"/>
                <w:b/>
                <w:color w:val="1F4E79"/>
                <w:sz w:val="18"/>
              </w:rPr>
              <w:t>Tác dụng với overfitting</w:t>
            </w:r>
          </w:p>
        </w:tc>
      </w:tr>
      <w:tr>
        <w:tc>
          <w:tcPr>
            <w:tcW w:type="dxa" w:w="3264"/>
            <w:vAlign w:val="center"/>
          </w:tcPr>
          <w:p>
            <w:pPr>
              <w:spacing w:after="40" w:line="252" w:lineRule="auto"/>
            </w:pPr>
            <w:r>
              <w:rPr>
                <w:rFonts w:ascii="Arial" w:hAnsi="Arial"/>
                <w:sz w:val="18"/>
              </w:rPr>
              <w:t>Walk-forward evaluation</w:t>
            </w:r>
          </w:p>
        </w:tc>
        <w:tc>
          <w:tcPr>
            <w:tcW w:type="dxa" w:w="3264"/>
            <w:vAlign w:val="center"/>
          </w:tcPr>
          <w:p>
            <w:pPr>
              <w:spacing w:after="40" w:line="252" w:lineRule="auto"/>
            </w:pPr>
            <w:r>
              <w:rPr>
                <w:rFonts w:ascii="Arial" w:hAnsi="Arial"/>
                <w:sz w:val="18"/>
              </w:rPr>
              <w:t>Chia chuỗi OOS thành nhiều đoạn và báo cáo metric theo từng đoạn.</w:t>
            </w:r>
          </w:p>
        </w:tc>
        <w:tc>
          <w:tcPr>
            <w:tcW w:type="dxa" w:w="3264"/>
            <w:vAlign w:val="center"/>
          </w:tcPr>
          <w:p>
            <w:pPr>
              <w:spacing w:after="40" w:line="252" w:lineRule="auto"/>
            </w:pPr>
            <w:r>
              <w:rPr>
                <w:rFonts w:ascii="Arial" w:hAnsi="Arial"/>
                <w:sz w:val="18"/>
              </w:rPr>
              <w:t>Kiểm tra policy có ổn định qua nhiều regime hay chỉ lời ở một đoạn.</w:t>
            </w:r>
          </w:p>
        </w:tc>
      </w:tr>
      <w:tr>
        <w:tc>
          <w:tcPr>
            <w:tcW w:type="dxa" w:w="3264"/>
            <w:vAlign w:val="center"/>
          </w:tcPr>
          <w:p>
            <w:pPr>
              <w:spacing w:after="40" w:line="252" w:lineRule="auto"/>
            </w:pPr>
            <w:r>
              <w:rPr>
                <w:rFonts w:ascii="Arial" w:hAnsi="Arial"/>
                <w:sz w:val="18"/>
              </w:rPr>
              <w:t>Baseline comparison</w:t>
            </w:r>
          </w:p>
        </w:tc>
        <w:tc>
          <w:tcPr>
            <w:tcW w:type="dxa" w:w="3264"/>
            <w:vAlign w:val="center"/>
          </w:tcPr>
          <w:p>
            <w:pPr>
              <w:spacing w:after="40" w:line="252" w:lineRule="auto"/>
            </w:pPr>
            <w:r>
              <w:rPr>
                <w:rFonts w:ascii="Arial" w:hAnsi="Arial"/>
                <w:sz w:val="18"/>
              </w:rPr>
              <w:t>So PPO với Buy &amp; Hold, MA crossover, RSI rule, random policy.</w:t>
            </w:r>
          </w:p>
        </w:tc>
        <w:tc>
          <w:tcPr>
            <w:tcW w:type="dxa" w:w="3264"/>
            <w:vAlign w:val="center"/>
          </w:tcPr>
          <w:p>
            <w:pPr>
              <w:spacing w:after="40" w:line="252" w:lineRule="auto"/>
            </w:pPr>
            <w:r>
              <w:rPr>
                <w:rFonts w:ascii="Arial" w:hAnsi="Arial"/>
                <w:sz w:val="18"/>
              </w:rPr>
              <w:t>Nếu PPO không vượt baseline đơn giản thì chưa đủ bằng chứng có edge.</w:t>
            </w:r>
          </w:p>
        </w:tc>
      </w:tr>
      <w:tr>
        <w:tc>
          <w:tcPr>
            <w:tcW w:type="dxa" w:w="3264"/>
            <w:vAlign w:val="center"/>
          </w:tcPr>
          <w:p>
            <w:pPr>
              <w:spacing w:after="40" w:line="252" w:lineRule="auto"/>
            </w:pPr>
            <w:r>
              <w:rPr>
                <w:rFonts w:ascii="Arial" w:hAnsi="Arial"/>
                <w:sz w:val="18"/>
              </w:rPr>
              <w:t>Validation checkpoint</w:t>
            </w:r>
          </w:p>
        </w:tc>
        <w:tc>
          <w:tcPr>
            <w:tcW w:type="dxa" w:w="3264"/>
            <w:vAlign w:val="center"/>
          </w:tcPr>
          <w:p>
            <w:pPr>
              <w:spacing w:after="40" w:line="252" w:lineRule="auto"/>
            </w:pPr>
            <w:r>
              <w:rPr>
                <w:rFonts w:ascii="Arial" w:hAnsi="Arial"/>
                <w:sz w:val="18"/>
              </w:rPr>
              <w:t>Chọn model tốt nhất theo validation thay vì checkpoint cuối.</w:t>
            </w:r>
          </w:p>
        </w:tc>
        <w:tc>
          <w:tcPr>
            <w:tcW w:type="dxa" w:w="3264"/>
            <w:vAlign w:val="center"/>
          </w:tcPr>
          <w:p>
            <w:pPr>
              <w:spacing w:after="40" w:line="252" w:lineRule="auto"/>
            </w:pPr>
            <w:r>
              <w:rPr>
                <w:rFonts w:ascii="Arial" w:hAnsi="Arial"/>
                <w:sz w:val="18"/>
              </w:rPr>
              <w:t>Giảm rủi ro model train lâu bị học nhiễu cuối quá trình.</w:t>
            </w:r>
          </w:p>
        </w:tc>
      </w:tr>
      <w:tr>
        <w:tc>
          <w:tcPr>
            <w:tcW w:type="dxa" w:w="3264"/>
            <w:vAlign w:val="center"/>
          </w:tcPr>
          <w:p>
            <w:pPr>
              <w:spacing w:after="40" w:line="252" w:lineRule="auto"/>
            </w:pPr>
            <w:r>
              <w:rPr>
                <w:rFonts w:ascii="Arial" w:hAnsi="Arial"/>
                <w:sz w:val="18"/>
              </w:rPr>
              <w:t>Stress transaction cost</w:t>
            </w:r>
          </w:p>
        </w:tc>
        <w:tc>
          <w:tcPr>
            <w:tcW w:type="dxa" w:w="3264"/>
            <w:vAlign w:val="center"/>
          </w:tcPr>
          <w:p>
            <w:pPr>
              <w:spacing w:after="40" w:line="252" w:lineRule="auto"/>
            </w:pPr>
            <w:r>
              <w:rPr>
                <w:rFonts w:ascii="Arial" w:hAnsi="Arial"/>
                <w:sz w:val="18"/>
              </w:rPr>
              <w:t>Evaluate lại với spread/slippage/fee cao hơn.</w:t>
            </w:r>
          </w:p>
        </w:tc>
        <w:tc>
          <w:tcPr>
            <w:tcW w:type="dxa" w:w="3264"/>
            <w:vAlign w:val="center"/>
          </w:tcPr>
          <w:p>
            <w:pPr>
              <w:spacing w:after="40" w:line="252" w:lineRule="auto"/>
            </w:pPr>
            <w:r>
              <w:rPr>
                <w:rFonts w:ascii="Arial" w:hAnsi="Arial"/>
                <w:sz w:val="18"/>
              </w:rPr>
              <w:t>Phát hiện chiến lược quá mong manh với chi phí giao dịch.</w:t>
            </w:r>
          </w:p>
        </w:tc>
      </w:tr>
      <w:tr>
        <w:tc>
          <w:tcPr>
            <w:tcW w:type="dxa" w:w="3264"/>
            <w:vAlign w:val="center"/>
          </w:tcPr>
          <w:p>
            <w:pPr>
              <w:spacing w:after="40" w:line="252" w:lineRule="auto"/>
            </w:pPr>
            <w:r>
              <w:rPr>
                <w:rFonts w:ascii="Arial" w:hAnsi="Arial"/>
                <w:sz w:val="18"/>
              </w:rPr>
              <w:t>Multi-seed/checkpoint comparison</w:t>
            </w:r>
          </w:p>
        </w:tc>
        <w:tc>
          <w:tcPr>
            <w:tcW w:type="dxa" w:w="3264"/>
            <w:vAlign w:val="center"/>
          </w:tcPr>
          <w:p>
            <w:pPr>
              <w:spacing w:after="40" w:line="252" w:lineRule="auto"/>
            </w:pPr>
            <w:r>
              <w:rPr>
                <w:rFonts w:ascii="Arial" w:hAnsi="Arial"/>
                <w:sz w:val="18"/>
              </w:rPr>
              <w:t>Thiết kế hỗ trợ seed và nhiều candidate.</w:t>
            </w:r>
          </w:p>
        </w:tc>
        <w:tc>
          <w:tcPr>
            <w:tcW w:type="dxa" w:w="3264"/>
            <w:vAlign w:val="center"/>
          </w:tcPr>
          <w:p>
            <w:pPr>
              <w:spacing w:after="40" w:line="252" w:lineRule="auto"/>
            </w:pPr>
            <w:r>
              <w:rPr>
                <w:rFonts w:ascii="Arial" w:hAnsi="Arial"/>
                <w:sz w:val="18"/>
              </w:rPr>
              <w:t>Tránh chọn một lần train may mắn.</w:t>
            </w:r>
          </w:p>
        </w:tc>
      </w:tr>
      <w:tr>
        <w:tc>
          <w:tcPr>
            <w:tcW w:type="dxa" w:w="3264"/>
            <w:vAlign w:val="center"/>
          </w:tcPr>
          <w:p>
            <w:pPr>
              <w:spacing w:after="40" w:line="252" w:lineRule="auto"/>
            </w:pPr>
            <w:r>
              <w:rPr>
                <w:rFonts w:ascii="Arial" w:hAnsi="Arial"/>
                <w:sz w:val="18"/>
              </w:rPr>
              <w:t>PBO-style report</w:t>
            </w:r>
          </w:p>
        </w:tc>
        <w:tc>
          <w:tcPr>
            <w:tcW w:type="dxa" w:w="3264"/>
            <w:vAlign w:val="center"/>
          </w:tcPr>
          <w:p>
            <w:pPr>
              <w:spacing w:after="40" w:line="252" w:lineRule="auto"/>
            </w:pPr>
            <w:r>
              <w:rPr>
                <w:rFonts w:ascii="Arial" w:hAnsi="Arial"/>
                <w:sz w:val="18"/>
              </w:rPr>
              <w:t>Ước lượng rủi ro overfit qua thứ hạng candidate trên OOS.</w:t>
            </w:r>
          </w:p>
        </w:tc>
        <w:tc>
          <w:tcPr>
            <w:tcW w:type="dxa" w:w="3264"/>
            <w:vAlign w:val="center"/>
          </w:tcPr>
          <w:p>
            <w:pPr>
              <w:spacing w:after="40" w:line="252" w:lineRule="auto"/>
            </w:pPr>
            <w:r>
              <w:rPr>
                <w:rFonts w:ascii="Arial" w:hAnsi="Arial"/>
                <w:sz w:val="18"/>
              </w:rPr>
              <w:t>Cảnh báo khi kết quả đẹp nhưng thiếu ổn định.</w:t>
            </w:r>
          </w:p>
        </w:tc>
      </w:tr>
      <w:tr>
        <w:tc>
          <w:tcPr>
            <w:tcW w:type="dxa" w:w="3264"/>
            <w:vAlign w:val="center"/>
          </w:tcPr>
          <w:p>
            <w:pPr>
              <w:spacing w:after="40" w:line="252" w:lineRule="auto"/>
            </w:pPr>
            <w:r>
              <w:rPr>
                <w:rFonts w:ascii="Arial" w:hAnsi="Arial"/>
                <w:sz w:val="18"/>
              </w:rPr>
              <w:t>Reward risk-aware</w:t>
            </w:r>
          </w:p>
        </w:tc>
        <w:tc>
          <w:tcPr>
            <w:tcW w:type="dxa" w:w="3264"/>
            <w:vAlign w:val="center"/>
          </w:tcPr>
          <w:p>
            <w:pPr>
              <w:spacing w:after="40" w:line="252" w:lineRule="auto"/>
            </w:pPr>
            <w:r>
              <w:rPr>
                <w:rFonts w:ascii="Arial" w:hAnsi="Arial"/>
                <w:sz w:val="18"/>
              </w:rPr>
              <w:t>Thêm reward_mode pnl_drawdown và sharpe_proxy.</w:t>
            </w:r>
          </w:p>
        </w:tc>
        <w:tc>
          <w:tcPr>
            <w:tcW w:type="dxa" w:w="3264"/>
            <w:vAlign w:val="center"/>
          </w:tcPr>
          <w:p>
            <w:pPr>
              <w:spacing w:after="40" w:line="252" w:lineRule="auto"/>
            </w:pPr>
            <w:r>
              <w:rPr>
                <w:rFonts w:ascii="Arial" w:hAnsi="Arial"/>
                <w:sz w:val="18"/>
              </w:rPr>
              <w:t>Không chỉ tối đa hóa lợi nhuận thô mà còn phạt rủi ro.</w:t>
            </w:r>
          </w:p>
        </w:tc>
      </w:tr>
      <w:tr>
        <w:tc>
          <w:tcPr>
            <w:tcW w:type="dxa" w:w="3264"/>
            <w:vAlign w:val="center"/>
          </w:tcPr>
          <w:p>
            <w:pPr>
              <w:spacing w:after="40" w:line="252" w:lineRule="auto"/>
            </w:pPr>
            <w:r>
              <w:rPr>
                <w:rFonts w:ascii="Arial" w:hAnsi="Arial"/>
                <w:sz w:val="18"/>
              </w:rPr>
              <w:t>Risk-normalized sizing</w:t>
            </w:r>
          </w:p>
        </w:tc>
        <w:tc>
          <w:tcPr>
            <w:tcW w:type="dxa" w:w="3264"/>
            <w:vAlign w:val="center"/>
          </w:tcPr>
          <w:p>
            <w:pPr>
              <w:spacing w:after="40" w:line="252" w:lineRule="auto"/>
            </w:pPr>
            <w:r>
              <w:rPr>
                <w:rFonts w:ascii="Arial" w:hAnsi="Arial"/>
                <w:sz w:val="18"/>
              </w:rPr>
              <w:t>SL/TP chuyển sang basis points; mỗi lệnh rủi ro tối đa 1% equity, giới hạn notional và không cho equity âm.</w:t>
            </w:r>
          </w:p>
        </w:tc>
        <w:tc>
          <w:tcPr>
            <w:tcW w:type="dxa" w:w="3264"/>
            <w:vAlign w:val="center"/>
          </w:tcPr>
          <w:p>
            <w:pPr>
              <w:spacing w:after="40" w:line="252" w:lineRule="auto"/>
            </w:pPr>
            <w:r>
              <w:rPr>
                <w:rFonts w:ascii="Arial" w:hAnsi="Arial"/>
                <w:sz w:val="18"/>
              </w:rPr>
              <w:t>Giảm backtest ảo do vị thế quá lớn, đặc biệt với BTC; làm reward/PNL sát nghiên cứu thực tế hơn.</w:t>
            </w:r>
          </w:p>
        </w:tc>
      </w:tr>
    </w:tbl>
    <w:p/>
    <w:p>
      <w:pPr>
        <w:pStyle w:val="Heading1"/>
      </w:pPr>
      <w:r>
        <w:t>5. Các hướng phát triển mục 11 đã áp dụng</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D9EAF7"/>
          </w:tcPr>
          <w:p>
            <w:pPr>
              <w:spacing w:after="40" w:line="252" w:lineRule="auto"/>
            </w:pPr>
            <w:r>
              <w:rPr>
                <w:rFonts w:ascii="Arial" w:hAnsi="Arial"/>
                <w:b/>
                <w:color w:val="1F4E79"/>
                <w:sz w:val="18"/>
              </w:rPr>
              <w:t>Hướng mục 11</w:t>
            </w:r>
          </w:p>
        </w:tc>
        <w:tc>
          <w:tcPr>
            <w:tcW w:type="dxa" w:w="1958"/>
            <w:vAlign w:val="center"/>
            <w:shd w:fill="D9EAF7"/>
          </w:tcPr>
          <w:p>
            <w:pPr>
              <w:spacing w:after="40" w:line="252" w:lineRule="auto"/>
            </w:pPr>
            <w:r>
              <w:rPr>
                <w:rFonts w:ascii="Arial" w:hAnsi="Arial"/>
                <w:b/>
                <w:color w:val="1F4E79"/>
                <w:sz w:val="18"/>
              </w:rPr>
              <w:t>Trước cải thiện</w:t>
            </w:r>
          </w:p>
        </w:tc>
        <w:tc>
          <w:tcPr>
            <w:tcW w:type="dxa" w:w="1958"/>
            <w:vAlign w:val="center"/>
            <w:shd w:fill="D9EAF7"/>
          </w:tcPr>
          <w:p>
            <w:pPr>
              <w:spacing w:after="40" w:line="252" w:lineRule="auto"/>
            </w:pPr>
            <w:r>
              <w:rPr>
                <w:rFonts w:ascii="Arial" w:hAnsi="Arial"/>
                <w:b/>
                <w:color w:val="1F4E79"/>
                <w:sz w:val="18"/>
              </w:rPr>
              <w:t>Sau cải thiện</w:t>
            </w:r>
          </w:p>
        </w:tc>
        <w:tc>
          <w:tcPr>
            <w:tcW w:type="dxa" w:w="1958"/>
            <w:vAlign w:val="center"/>
            <w:shd w:fill="D9EAF7"/>
          </w:tcPr>
          <w:p>
            <w:pPr>
              <w:spacing w:after="40" w:line="252" w:lineRule="auto"/>
            </w:pPr>
            <w:r>
              <w:rPr>
                <w:rFonts w:ascii="Arial" w:hAnsi="Arial"/>
                <w:b/>
                <w:color w:val="1F4E79"/>
                <w:sz w:val="18"/>
              </w:rPr>
              <w:t>Ưu điểm</w:t>
            </w:r>
          </w:p>
        </w:tc>
        <w:tc>
          <w:tcPr>
            <w:tcW w:type="dxa" w:w="1958"/>
            <w:vAlign w:val="center"/>
            <w:shd w:fill="D9EAF7"/>
          </w:tcPr>
          <w:p>
            <w:pPr>
              <w:spacing w:after="40" w:line="252" w:lineRule="auto"/>
            </w:pPr>
            <w:r>
              <w:rPr>
                <w:rFonts w:ascii="Arial" w:hAnsi="Arial"/>
                <w:b/>
                <w:color w:val="1F4E79"/>
                <w:sz w:val="18"/>
              </w:rPr>
              <w:t>Nhược điểm còn lại</w:t>
            </w:r>
          </w:p>
        </w:tc>
      </w:tr>
      <w:tr>
        <w:tc>
          <w:tcPr>
            <w:tcW w:type="dxa" w:w="1958"/>
            <w:vAlign w:val="center"/>
          </w:tcPr>
          <w:p>
            <w:pPr>
              <w:spacing w:after="40" w:line="252" w:lineRule="auto"/>
            </w:pPr>
            <w:r>
              <w:rPr>
                <w:rFonts w:ascii="Arial" w:hAnsi="Arial"/>
                <w:sz w:val="18"/>
              </w:rPr>
              <w:t>Dashboard UI</w:t>
            </w:r>
          </w:p>
        </w:tc>
        <w:tc>
          <w:tcPr>
            <w:tcW w:type="dxa" w:w="1958"/>
            <w:vAlign w:val="center"/>
          </w:tcPr>
          <w:p>
            <w:pPr>
              <w:spacing w:after="40" w:line="252" w:lineRule="auto"/>
            </w:pPr>
            <w:r>
              <w:rPr>
                <w:rFonts w:ascii="Arial" w:hAnsi="Arial"/>
                <w:sz w:val="18"/>
              </w:rPr>
              <w:t>Chạy script thủ công, khó biết model nào đã có.</w:t>
            </w:r>
          </w:p>
        </w:tc>
        <w:tc>
          <w:tcPr>
            <w:tcW w:type="dxa" w:w="1958"/>
            <w:vAlign w:val="center"/>
          </w:tcPr>
          <w:p>
            <w:pPr>
              <w:spacing w:after="40" w:line="252" w:lineRule="auto"/>
            </w:pPr>
            <w:r>
              <w:rPr>
                <w:rFonts w:ascii="Arial" w:hAnsi="Arial"/>
                <w:sz w:val="18"/>
              </w:rPr>
              <w:t>Streamlit UI có card tài sản, trạng thái model, nút Run, metrics và charts.</w:t>
            </w:r>
          </w:p>
        </w:tc>
        <w:tc>
          <w:tcPr>
            <w:tcW w:type="dxa" w:w="1958"/>
            <w:vAlign w:val="center"/>
          </w:tcPr>
          <w:p>
            <w:pPr>
              <w:spacing w:after="40" w:line="252" w:lineRule="auto"/>
            </w:pPr>
            <w:r>
              <w:rPr>
                <w:rFonts w:ascii="Arial" w:hAnsi="Arial"/>
                <w:sz w:val="18"/>
              </w:rPr>
              <w:t>Dễ demo, dễ train thử nhiều coin.</w:t>
            </w:r>
          </w:p>
        </w:tc>
        <w:tc>
          <w:tcPr>
            <w:tcW w:type="dxa" w:w="1958"/>
            <w:vAlign w:val="center"/>
          </w:tcPr>
          <w:p>
            <w:pPr>
              <w:spacing w:after="40" w:line="252" w:lineRule="auto"/>
            </w:pPr>
            <w:r>
              <w:rPr>
                <w:rFonts w:ascii="Arial" w:hAnsi="Arial"/>
                <w:sz w:val="18"/>
              </w:rPr>
              <w:t>Chưa có queue/background job chuyên nghiệp.</w:t>
            </w:r>
          </w:p>
        </w:tc>
      </w:tr>
      <w:tr>
        <w:tc>
          <w:tcPr>
            <w:tcW w:type="dxa" w:w="1958"/>
            <w:vAlign w:val="center"/>
          </w:tcPr>
          <w:p>
            <w:pPr>
              <w:spacing w:after="40" w:line="252" w:lineRule="auto"/>
            </w:pPr>
            <w:r>
              <w:rPr>
                <w:rFonts w:ascii="Arial" w:hAnsi="Arial"/>
                <w:sz w:val="18"/>
              </w:rPr>
              <w:t>Multi-asset</w:t>
            </w:r>
          </w:p>
        </w:tc>
        <w:tc>
          <w:tcPr>
            <w:tcW w:type="dxa" w:w="1958"/>
            <w:vAlign w:val="center"/>
          </w:tcPr>
          <w:p>
            <w:pPr>
              <w:spacing w:after="40" w:line="252" w:lineRule="auto"/>
            </w:pPr>
            <w:r>
              <w:rPr>
                <w:rFonts w:ascii="Arial" w:hAnsi="Arial"/>
                <w:sz w:val="18"/>
              </w:rPr>
              <w:t>BTC và Gold nằm ở cấu trúc riêng.</w:t>
            </w:r>
          </w:p>
        </w:tc>
        <w:tc>
          <w:tcPr>
            <w:tcW w:type="dxa" w:w="1958"/>
            <w:vAlign w:val="center"/>
          </w:tcPr>
          <w:p>
            <w:pPr>
              <w:spacing w:after="40" w:line="252" w:lineRule="auto"/>
            </w:pPr>
            <w:r>
              <w:rPr>
                <w:rFonts w:ascii="Arial" w:hAnsi="Arial"/>
                <w:sz w:val="18"/>
              </w:rPr>
              <w:t>Một pipeline chung cho nhiều cặp Binance USDT, mỗi tài sản có artifact riêng.</w:t>
            </w:r>
          </w:p>
        </w:tc>
        <w:tc>
          <w:tcPr>
            <w:tcW w:type="dxa" w:w="1958"/>
            <w:vAlign w:val="center"/>
          </w:tcPr>
          <w:p>
            <w:pPr>
              <w:spacing w:after="40" w:line="252" w:lineRule="auto"/>
            </w:pPr>
            <w:r>
              <w:rPr>
                <w:rFonts w:ascii="Arial" w:hAnsi="Arial"/>
                <w:sz w:val="18"/>
              </w:rPr>
              <w:t>Gọn hơn, mở rộng NEAR/BTC/PAXG dễ hơn.</w:t>
            </w:r>
          </w:p>
        </w:tc>
        <w:tc>
          <w:tcPr>
            <w:tcW w:type="dxa" w:w="1958"/>
            <w:vAlign w:val="center"/>
          </w:tcPr>
          <w:p>
            <w:pPr>
              <w:spacing w:after="40" w:line="252" w:lineRule="auto"/>
            </w:pPr>
            <w:r>
              <w:rPr>
                <w:rFonts w:ascii="Arial" w:hAnsi="Arial"/>
                <w:sz w:val="18"/>
              </w:rPr>
              <w:t>Chưa làm portfolio allocation chung.</w:t>
            </w:r>
          </w:p>
        </w:tc>
      </w:tr>
      <w:tr>
        <w:tc>
          <w:tcPr>
            <w:tcW w:type="dxa" w:w="1958"/>
            <w:vAlign w:val="center"/>
          </w:tcPr>
          <w:p>
            <w:pPr>
              <w:spacing w:after="40" w:line="252" w:lineRule="auto"/>
            </w:pPr>
            <w:r>
              <w:rPr>
                <w:rFonts w:ascii="Arial" w:hAnsi="Arial"/>
                <w:sz w:val="18"/>
              </w:rPr>
              <w:t>Reward cải thiện</w:t>
            </w:r>
          </w:p>
        </w:tc>
        <w:tc>
          <w:tcPr>
            <w:tcW w:type="dxa" w:w="1958"/>
            <w:vAlign w:val="center"/>
          </w:tcPr>
          <w:p>
            <w:pPr>
              <w:spacing w:after="40" w:line="252" w:lineRule="auto"/>
            </w:pPr>
            <w:r>
              <w:rPr>
                <w:rFonts w:ascii="Arial" w:hAnsi="Arial"/>
                <w:sz w:val="18"/>
              </w:rPr>
              <w:t>Reward chủ yếu dựa PnL và shaping đơn giản.</w:t>
            </w:r>
          </w:p>
        </w:tc>
        <w:tc>
          <w:tcPr>
            <w:tcW w:type="dxa" w:w="1958"/>
            <w:vAlign w:val="center"/>
          </w:tcPr>
          <w:p>
            <w:pPr>
              <w:spacing w:after="40" w:line="252" w:lineRule="auto"/>
            </w:pPr>
            <w:r>
              <w:rPr>
                <w:rFonts w:ascii="Arial" w:hAnsi="Arial"/>
                <w:sz w:val="18"/>
              </w:rPr>
              <w:t>Có option pnl, pnl_drawdown, sharpe_proxy.</w:t>
            </w:r>
          </w:p>
        </w:tc>
        <w:tc>
          <w:tcPr>
            <w:tcW w:type="dxa" w:w="1958"/>
            <w:vAlign w:val="center"/>
          </w:tcPr>
          <w:p>
            <w:pPr>
              <w:spacing w:after="40" w:line="252" w:lineRule="auto"/>
            </w:pPr>
            <w:r>
              <w:rPr>
                <w:rFonts w:ascii="Arial" w:hAnsi="Arial"/>
                <w:sz w:val="18"/>
              </w:rPr>
              <w:t>Đưa drawdown/risk vào mục tiêu học.</w:t>
            </w:r>
          </w:p>
        </w:tc>
        <w:tc>
          <w:tcPr>
            <w:tcW w:type="dxa" w:w="1958"/>
            <w:vAlign w:val="center"/>
          </w:tcPr>
          <w:p>
            <w:pPr>
              <w:spacing w:after="40" w:line="252" w:lineRule="auto"/>
            </w:pPr>
            <w:r>
              <w:rPr>
                <w:rFonts w:ascii="Arial" w:hAnsi="Arial"/>
                <w:sz w:val="18"/>
              </w:rPr>
              <w:t>Cần train dài để so sánh reward nào tốt nhất.</w:t>
            </w:r>
          </w:p>
        </w:tc>
      </w:tr>
      <w:tr>
        <w:tc>
          <w:tcPr>
            <w:tcW w:type="dxa" w:w="1958"/>
            <w:vAlign w:val="center"/>
          </w:tcPr>
          <w:p>
            <w:pPr>
              <w:spacing w:after="40" w:line="252" w:lineRule="auto"/>
            </w:pPr>
            <w:r>
              <w:rPr>
                <w:rFonts w:ascii="Arial" w:hAnsi="Arial"/>
                <w:sz w:val="18"/>
              </w:rPr>
              <w:t>CNN cho chuỗi thời gian</w:t>
            </w:r>
          </w:p>
        </w:tc>
        <w:tc>
          <w:tcPr>
            <w:tcW w:type="dxa" w:w="1958"/>
            <w:vAlign w:val="center"/>
          </w:tcPr>
          <w:p>
            <w:pPr>
              <w:spacing w:after="40" w:line="252" w:lineRule="auto"/>
            </w:pPr>
            <w:r>
              <w:rPr>
                <w:rFonts w:ascii="Arial" w:hAnsi="Arial"/>
                <w:sz w:val="18"/>
              </w:rPr>
              <w:t>CNN chỉ nằm ở nhánh Gold.</w:t>
            </w:r>
          </w:p>
        </w:tc>
        <w:tc>
          <w:tcPr>
            <w:tcW w:type="dxa" w:w="1958"/>
            <w:vAlign w:val="center"/>
          </w:tcPr>
          <w:p>
            <w:pPr>
              <w:spacing w:after="40" w:line="252" w:lineRule="auto"/>
            </w:pPr>
            <w:r>
              <w:rPr>
                <w:rFonts w:ascii="Arial" w:hAnsi="Arial"/>
                <w:sz w:val="18"/>
              </w:rPr>
              <w:t>Policy option cnn1d dùng chung cho coin/BTC/PAXG.</w:t>
            </w:r>
          </w:p>
        </w:tc>
        <w:tc>
          <w:tcPr>
            <w:tcW w:type="dxa" w:w="1958"/>
            <w:vAlign w:val="center"/>
          </w:tcPr>
          <w:p>
            <w:pPr>
              <w:spacing w:after="40" w:line="252" w:lineRule="auto"/>
            </w:pPr>
            <w:r>
              <w:rPr>
                <w:rFonts w:ascii="Arial" w:hAnsi="Arial"/>
                <w:sz w:val="18"/>
              </w:rPr>
              <w:t>Có thể học pattern cục bộ trong cửa sổ nến.</w:t>
            </w:r>
          </w:p>
        </w:tc>
        <w:tc>
          <w:tcPr>
            <w:tcW w:type="dxa" w:w="1958"/>
            <w:vAlign w:val="center"/>
          </w:tcPr>
          <w:p>
            <w:pPr>
              <w:spacing w:after="40" w:line="252" w:lineRule="auto"/>
            </w:pPr>
            <w:r>
              <w:rPr>
                <w:rFonts w:ascii="Arial" w:hAnsi="Arial"/>
                <w:sz w:val="18"/>
              </w:rPr>
              <w:t>MLP vẫn là mặc định vì ổn định và nhẹ hơn.</w:t>
            </w:r>
          </w:p>
        </w:tc>
      </w:tr>
      <w:tr>
        <w:tc>
          <w:tcPr>
            <w:tcW w:type="dxa" w:w="1958"/>
            <w:vAlign w:val="center"/>
          </w:tcPr>
          <w:p>
            <w:pPr>
              <w:spacing w:after="40" w:line="252" w:lineRule="auto"/>
            </w:pPr>
            <w:r>
              <w:rPr>
                <w:rFonts w:ascii="Arial" w:hAnsi="Arial"/>
                <w:sz w:val="18"/>
              </w:rPr>
              <w:t>RecurrentPPO/LSTM</w:t>
            </w:r>
          </w:p>
        </w:tc>
        <w:tc>
          <w:tcPr>
            <w:tcW w:type="dxa" w:w="1958"/>
            <w:vAlign w:val="center"/>
          </w:tcPr>
          <w:p>
            <w:pPr>
              <w:spacing w:after="40" w:line="252" w:lineRule="auto"/>
            </w:pPr>
            <w:r>
              <w:rPr>
                <w:rFonts w:ascii="Arial" w:hAnsi="Arial"/>
                <w:sz w:val="18"/>
              </w:rPr>
              <w:t>Chưa hỗ trợ trong pipeline chung.</w:t>
            </w:r>
          </w:p>
        </w:tc>
        <w:tc>
          <w:tcPr>
            <w:tcW w:type="dxa" w:w="1958"/>
            <w:vAlign w:val="center"/>
          </w:tcPr>
          <w:p>
            <w:pPr>
              <w:spacing w:after="40" w:line="252" w:lineRule="auto"/>
            </w:pPr>
            <w:r>
              <w:rPr>
                <w:rFonts w:ascii="Arial" w:hAnsi="Arial"/>
                <w:sz w:val="18"/>
              </w:rPr>
              <w:t>UI/CLI có option recurrent_lstm nếu cài sb3-contrib.</w:t>
            </w:r>
          </w:p>
        </w:tc>
        <w:tc>
          <w:tcPr>
            <w:tcW w:type="dxa" w:w="1958"/>
            <w:vAlign w:val="center"/>
          </w:tcPr>
          <w:p>
            <w:pPr>
              <w:spacing w:after="40" w:line="252" w:lineRule="auto"/>
            </w:pPr>
            <w:r>
              <w:rPr>
                <w:rFonts w:ascii="Arial" w:hAnsi="Arial"/>
                <w:sz w:val="18"/>
              </w:rPr>
              <w:t>Có đường mở cho phụ thuộc dài hạn.</w:t>
            </w:r>
          </w:p>
        </w:tc>
        <w:tc>
          <w:tcPr>
            <w:tcW w:type="dxa" w:w="1958"/>
            <w:vAlign w:val="center"/>
          </w:tcPr>
          <w:p>
            <w:pPr>
              <w:spacing w:after="40" w:line="252" w:lineRule="auto"/>
            </w:pPr>
            <w:r>
              <w:rPr>
                <w:rFonts w:ascii="Arial" w:hAnsi="Arial"/>
                <w:sz w:val="18"/>
              </w:rPr>
              <w:t>Cần dependency và train lâu hơn.</w:t>
            </w:r>
          </w:p>
        </w:tc>
      </w:tr>
      <w:tr>
        <w:tc>
          <w:tcPr>
            <w:tcW w:type="dxa" w:w="1958"/>
            <w:vAlign w:val="center"/>
          </w:tcPr>
          <w:p>
            <w:pPr>
              <w:spacing w:after="40" w:line="252" w:lineRule="auto"/>
            </w:pPr>
            <w:r>
              <w:rPr>
                <w:rFonts w:ascii="Arial" w:hAnsi="Arial"/>
                <w:sz w:val="18"/>
              </w:rPr>
              <w:t>Optuna HPO</w:t>
            </w:r>
          </w:p>
        </w:tc>
        <w:tc>
          <w:tcPr>
            <w:tcW w:type="dxa" w:w="1958"/>
            <w:vAlign w:val="center"/>
          </w:tcPr>
          <w:p>
            <w:pPr>
              <w:spacing w:after="40" w:line="252" w:lineRule="auto"/>
            </w:pPr>
            <w:r>
              <w:rPr>
                <w:rFonts w:ascii="Arial" w:hAnsi="Arial"/>
                <w:sz w:val="18"/>
              </w:rPr>
              <w:t>Tuning thủ công.</w:t>
            </w:r>
          </w:p>
        </w:tc>
        <w:tc>
          <w:tcPr>
            <w:tcW w:type="dxa" w:w="1958"/>
            <w:vAlign w:val="center"/>
          </w:tcPr>
          <w:p>
            <w:pPr>
              <w:spacing w:after="40" w:line="252" w:lineRule="auto"/>
            </w:pPr>
            <w:r>
              <w:rPr>
                <w:rFonts w:ascii="Arial" w:hAnsi="Arial"/>
                <w:sz w:val="18"/>
              </w:rPr>
              <w:t>Có hpo_trials để chạy HPO nhỏ.</w:t>
            </w:r>
          </w:p>
        </w:tc>
        <w:tc>
          <w:tcPr>
            <w:tcW w:type="dxa" w:w="1958"/>
            <w:vAlign w:val="center"/>
          </w:tcPr>
          <w:p>
            <w:pPr>
              <w:spacing w:after="40" w:line="252" w:lineRule="auto"/>
            </w:pPr>
            <w:r>
              <w:rPr>
                <w:rFonts w:ascii="Arial" w:hAnsi="Arial"/>
                <w:sz w:val="18"/>
              </w:rPr>
              <w:t>Giảm phụ thuộc chọn tham số cảm tính.</w:t>
            </w:r>
          </w:p>
        </w:tc>
        <w:tc>
          <w:tcPr>
            <w:tcW w:type="dxa" w:w="1958"/>
            <w:vAlign w:val="center"/>
          </w:tcPr>
          <w:p>
            <w:pPr>
              <w:spacing w:after="40" w:line="252" w:lineRule="auto"/>
            </w:pPr>
            <w:r>
              <w:rPr>
                <w:rFonts w:ascii="Arial" w:hAnsi="Arial"/>
                <w:sz w:val="18"/>
              </w:rPr>
              <w:t>Nhiều trial sẽ tốn thời gian.</w:t>
            </w:r>
          </w:p>
        </w:tc>
      </w:tr>
      <w:tr>
        <w:tc>
          <w:tcPr>
            <w:tcW w:type="dxa" w:w="1958"/>
            <w:vAlign w:val="center"/>
          </w:tcPr>
          <w:p>
            <w:pPr>
              <w:spacing w:after="40" w:line="252" w:lineRule="auto"/>
            </w:pPr>
            <w:r>
              <w:rPr>
                <w:rFonts w:ascii="Arial" w:hAnsi="Arial"/>
                <w:sz w:val="18"/>
              </w:rPr>
              <w:t>Paper trading/latest signal</w:t>
            </w:r>
          </w:p>
        </w:tc>
        <w:tc>
          <w:tcPr>
            <w:tcW w:type="dxa" w:w="1958"/>
            <w:vAlign w:val="center"/>
          </w:tcPr>
          <w:p>
            <w:pPr>
              <w:spacing w:after="40" w:line="252" w:lineRule="auto"/>
            </w:pPr>
            <w:r>
              <w:rPr>
                <w:rFonts w:ascii="Arial" w:hAnsi="Arial"/>
                <w:sz w:val="18"/>
              </w:rPr>
              <w:t>Live script rời rạc và dễ lệch config.</w:t>
            </w:r>
          </w:p>
        </w:tc>
        <w:tc>
          <w:tcPr>
            <w:tcW w:type="dxa" w:w="1958"/>
            <w:vAlign w:val="center"/>
          </w:tcPr>
          <w:p>
            <w:pPr>
              <w:spacing w:after="40" w:line="252" w:lineRule="auto"/>
            </w:pPr>
            <w:r>
              <w:rPr>
                <w:rFonts w:ascii="Arial" w:hAnsi="Arial"/>
                <w:sz w:val="18"/>
              </w:rPr>
              <w:t>Latest signal đọc artifact, fetch API mới nhất và hiển thị khuyến nghị.</w:t>
            </w:r>
          </w:p>
        </w:tc>
        <w:tc>
          <w:tcPr>
            <w:tcW w:type="dxa" w:w="1958"/>
            <w:vAlign w:val="center"/>
          </w:tcPr>
          <w:p>
            <w:pPr>
              <w:spacing w:after="40" w:line="252" w:lineRule="auto"/>
            </w:pPr>
            <w:r>
              <w:rPr>
                <w:rFonts w:ascii="Arial" w:hAnsi="Arial"/>
                <w:sz w:val="18"/>
              </w:rPr>
              <w:t>Không tự tính sai scaler live, dễ kiểm tra mô hình đã lưu.</w:t>
            </w:r>
          </w:p>
        </w:tc>
        <w:tc>
          <w:tcPr>
            <w:tcW w:type="dxa" w:w="1958"/>
            <w:vAlign w:val="center"/>
          </w:tcPr>
          <w:p>
            <w:pPr>
              <w:spacing w:after="40" w:line="252" w:lineRule="auto"/>
            </w:pPr>
            <w:r>
              <w:rPr>
                <w:rFonts w:ascii="Arial" w:hAnsi="Arial"/>
                <w:sz w:val="18"/>
              </w:rPr>
              <w:t>Chưa đặt lệnh thật, đúng phạm vi nghiên cứu.</w:t>
            </w:r>
          </w:p>
        </w:tc>
      </w:tr>
      <w:tr>
        <w:tc>
          <w:tcPr>
            <w:tcW w:type="dxa" w:w="1958"/>
            <w:vAlign w:val="center"/>
          </w:tcPr>
          <w:p>
            <w:pPr>
              <w:spacing w:after="40" w:line="252" w:lineRule="auto"/>
            </w:pPr>
            <w:r>
              <w:rPr>
                <w:rFonts w:ascii="Arial" w:hAnsi="Arial"/>
                <w:sz w:val="18"/>
              </w:rPr>
              <w:t>Hiển thị kết quả</w:t>
            </w:r>
          </w:p>
        </w:tc>
        <w:tc>
          <w:tcPr>
            <w:tcW w:type="dxa" w:w="1958"/>
            <w:vAlign w:val="center"/>
          </w:tcPr>
          <w:p>
            <w:pPr>
              <w:spacing w:after="40" w:line="252" w:lineRule="auto"/>
            </w:pPr>
            <w:r>
              <w:rPr>
                <w:rFonts w:ascii="Arial" w:hAnsi="Arial"/>
                <w:sz w:val="18"/>
              </w:rPr>
              <w:t>Chủ yếu equity curve.</w:t>
            </w:r>
          </w:p>
        </w:tc>
        <w:tc>
          <w:tcPr>
            <w:tcW w:type="dxa" w:w="1958"/>
            <w:vAlign w:val="center"/>
          </w:tcPr>
          <w:p>
            <w:pPr>
              <w:spacing w:after="40" w:line="252" w:lineRule="auto"/>
            </w:pPr>
            <w:r>
              <w:rPr>
                <w:rFonts w:ascii="Arial" w:hAnsi="Arial"/>
                <w:sz w:val="18"/>
              </w:rPr>
              <w:t>Có equity, drawdown, baseline comparison, stress comparison và JSON metrics.</w:t>
            </w:r>
          </w:p>
        </w:tc>
        <w:tc>
          <w:tcPr>
            <w:tcW w:type="dxa" w:w="1958"/>
            <w:vAlign w:val="center"/>
          </w:tcPr>
          <w:p>
            <w:pPr>
              <w:spacing w:after="40" w:line="252" w:lineRule="auto"/>
            </w:pPr>
            <w:r>
              <w:rPr>
                <w:rFonts w:ascii="Arial" w:hAnsi="Arial"/>
                <w:sz w:val="18"/>
              </w:rPr>
              <w:t>Phân tích rủi ro rõ hơn.</w:t>
            </w:r>
          </w:p>
        </w:tc>
        <w:tc>
          <w:tcPr>
            <w:tcW w:type="dxa" w:w="1958"/>
            <w:vAlign w:val="center"/>
          </w:tcPr>
          <w:p>
            <w:pPr>
              <w:spacing w:after="40" w:line="252" w:lineRule="auto"/>
            </w:pPr>
            <w:r>
              <w:rPr>
                <w:rFonts w:ascii="Arial" w:hAnsi="Arial"/>
                <w:sz w:val="18"/>
              </w:rPr>
              <w:t>Cần nhiều run để kết luận chắc.</w:t>
            </w:r>
          </w:p>
        </w:tc>
      </w:tr>
      <w:tr>
        <w:tc>
          <w:tcPr>
            <w:tcW w:type="dxa" w:w="1958"/>
            <w:vAlign w:val="center"/>
          </w:tcPr>
          <w:p>
            <w:pPr>
              <w:spacing w:after="40" w:line="252" w:lineRule="auto"/>
            </w:pPr>
            <w:r>
              <w:rPr>
                <w:rFonts w:ascii="Arial" w:hAnsi="Arial"/>
                <w:sz w:val="18"/>
              </w:rPr>
              <w:t>Quản trị vốn/risk sizing</w:t>
            </w:r>
          </w:p>
        </w:tc>
        <w:tc>
          <w:tcPr>
            <w:tcW w:type="dxa" w:w="1958"/>
            <w:vAlign w:val="center"/>
          </w:tcPr>
          <w:p>
            <w:pPr>
              <w:spacing w:after="40" w:line="252" w:lineRule="auto"/>
            </w:pPr>
            <w:r>
              <w:rPr>
                <w:rFonts w:ascii="Arial" w:hAnsi="Arial"/>
                <w:sz w:val="18"/>
              </w:rPr>
              <w:t>Prototype cũ có thể mở vị thế BTC quá lớn so với vốn giả định.</w:t>
            </w:r>
          </w:p>
        </w:tc>
        <w:tc>
          <w:tcPr>
            <w:tcW w:type="dxa" w:w="1958"/>
            <w:vAlign w:val="center"/>
          </w:tcPr>
          <w:p>
            <w:pPr>
              <w:spacing w:after="40" w:line="252" w:lineRule="auto"/>
            </w:pPr>
            <w:r>
              <w:rPr>
                <w:rFonts w:ascii="Arial" w:hAnsi="Arial"/>
                <w:sz w:val="18"/>
              </w:rPr>
              <w:t>Bản mới dùng risk_fraction_per_trade, max_notional_fraction, SL/TP theo bps và stop episode khi equity xuống quá thấp.</w:t>
            </w:r>
          </w:p>
        </w:tc>
        <w:tc>
          <w:tcPr>
            <w:tcW w:type="dxa" w:w="1958"/>
            <w:vAlign w:val="center"/>
          </w:tcPr>
          <w:p>
            <w:pPr>
              <w:spacing w:after="40" w:line="252" w:lineRule="auto"/>
            </w:pPr>
            <w:r>
              <w:rPr>
                <w:rFonts w:ascii="Arial" w:hAnsi="Arial"/>
                <w:sz w:val="18"/>
              </w:rPr>
              <w:t>Kết quả không còn bị phóng đại hoặc âm vốn phi thực tế; phù hợp hơn khi so baseline.</w:t>
            </w:r>
          </w:p>
        </w:tc>
        <w:tc>
          <w:tcPr>
            <w:tcW w:type="dxa" w:w="1958"/>
            <w:vAlign w:val="center"/>
          </w:tcPr>
          <w:p>
            <w:pPr>
              <w:spacing w:after="40" w:line="252" w:lineRule="auto"/>
            </w:pPr>
            <w:r>
              <w:rPr>
                <w:rFonts w:ascii="Arial" w:hAnsi="Arial"/>
                <w:sz w:val="18"/>
              </w:rPr>
              <w:t>Cần tiếp tục kiểm chứng nhiều seed và nhiều giai đoạn thị trường.</w:t>
            </w:r>
          </w:p>
        </w:tc>
      </w:tr>
    </w:tbl>
    <w:p/>
    <w:p>
      <w:pPr>
        <w:pStyle w:val="Heading1"/>
      </w:pPr>
      <w:r>
        <w:t>6. Kết quả và artifact cần báo cáo</w:t>
      </w:r>
    </w:p>
    <w:p>
      <w:pPr>
        <w:pStyle w:val="ListBullet"/>
      </w:pPr>
      <w:r>
        <w:rPr>
          <w:rFonts w:ascii="Arial" w:hAnsi="Arial"/>
          <w:sz w:val="21"/>
        </w:rPr>
        <w:t>Model chính đã train: BTCUSDT 1h, 2,000,000 timesteps, dữ liệu lấy trực tiếp từ Binance API và lưu tại artifacts/models/BTCUSDT/1h/btc_2m_risk_normalized_20260527.</w:t>
      </w:r>
    </w:p>
    <w:p>
      <w:pPr>
        <w:pStyle w:val="ListBullet"/>
      </w:pPr>
      <w:r>
        <w:t>Mỗi lần train lưu model.zip, train_config.json, train_stats.npz và các JSON metrics.</w:t>
      </w:r>
    </w:p>
    <w:p>
      <w:pPr>
        <w:pStyle w:val="ListBullet"/>
      </w:pPr>
      <w:r>
        <w:t>Các hình bắt buộc: equity_curve.png, drawdown_curve.png, baseline_comparison.png, stress_test_comparison.png.</w:t>
      </w:r>
    </w:p>
    <w:p>
      <w:pPr>
        <w:pStyle w:val="ListBullet"/>
      </w:pPr>
      <w:r>
        <w:rPr>
          <w:rFonts w:ascii="Arial" w:hAnsi="Arial"/>
          <w:sz w:val="21"/>
        </w:rPr>
        <w:t>Kết quả 2M được báo cáo theo OOS test-only metrics; không dùng để khẳng định SOTA vì baseline RSI/Buy &amp; Hold vẫn tốt hơn trên cửa sổ kiểm thử này.</w:t>
      </w:r>
    </w:p>
    <w:p>
      <w:pPr>
        <w:pStyle w:val="Heading2"/>
      </w:pPr>
      <w:r>
        <w:t>6.1. Kết quả BTC 2M sau nâng cấp risk-normalized</w:t>
      </w:r>
    </w:p>
    <w:p>
      <w:r>
        <w:rPr>
          <w:b/>
        </w:rPr>
        <w:t xml:space="preserve">Ý nghĩa chính: </w:t>
      </w:r>
      <w:r>
        <w:t>run 2M đã kiểm tra được toàn bộ pipeline API-first, checkpoint validation, baseline, stress test và chart artifact. Kết quả hiện tại trung thực hơn bản cũ: PPO không bị lỗi âm vốn/vị thế quá lớn, nhưng vẫn chưa vượt các baseline đơn giản trên OOS test.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pPr>
              <w:spacing w:after="40" w:line="252" w:lineRule="auto"/>
            </w:pPr>
            <w:r>
              <w:rPr>
                <w:rFonts w:ascii="Arial" w:hAnsi="Arial"/>
                <w:b/>
                <w:color w:val="1F4E79"/>
                <w:sz w:val="18"/>
              </w:rPr>
              <w:t>Nhóm kết quả</w:t>
            </w:r>
          </w:p>
        </w:tc>
        <w:tc>
          <w:tcPr>
            <w:tcW w:type="dxa" w:w="2448"/>
            <w:vAlign w:val="center"/>
            <w:shd w:fill="D9EAF7"/>
          </w:tcPr>
          <w:p>
            <w:pPr>
              <w:spacing w:after="40" w:line="252" w:lineRule="auto"/>
            </w:pPr>
            <w:r>
              <w:rPr>
                <w:rFonts w:ascii="Arial" w:hAnsi="Arial"/>
                <w:b/>
                <w:color w:val="1F4E79"/>
                <w:sz w:val="18"/>
              </w:rPr>
              <w:t>Chỉ số chính</w:t>
            </w:r>
          </w:p>
        </w:tc>
        <w:tc>
          <w:tcPr>
            <w:tcW w:type="dxa" w:w="2448"/>
            <w:vAlign w:val="center"/>
            <w:shd w:fill="D9EAF7"/>
          </w:tcPr>
          <w:p>
            <w:pPr>
              <w:spacing w:after="40" w:line="252" w:lineRule="auto"/>
            </w:pPr>
            <w:r>
              <w:rPr>
                <w:rFonts w:ascii="Arial" w:hAnsi="Arial"/>
                <w:b/>
                <w:color w:val="1F4E79"/>
                <w:sz w:val="18"/>
              </w:rPr>
              <w:t>Giá trị</w:t>
            </w:r>
          </w:p>
        </w:tc>
        <w:tc>
          <w:tcPr>
            <w:tcW w:type="dxa" w:w="2448"/>
            <w:vAlign w:val="center"/>
            <w:shd w:fill="D9EAF7"/>
          </w:tcPr>
          <w:p>
            <w:pPr>
              <w:spacing w:after="40" w:line="252" w:lineRule="auto"/>
            </w:pPr>
            <w:r>
              <w:rPr>
                <w:rFonts w:ascii="Arial" w:hAnsi="Arial"/>
                <w:b/>
                <w:color w:val="1F4E79"/>
                <w:sz w:val="18"/>
              </w:rPr>
              <w:t>Cách hiểu</w:t>
            </w:r>
          </w:p>
        </w:tc>
      </w:tr>
      <w:tr>
        <w:tc>
          <w:tcPr>
            <w:tcW w:type="dxa" w:w="2448"/>
            <w:vAlign w:val="center"/>
          </w:tcPr>
          <w:p>
            <w:pPr>
              <w:spacing w:after="40" w:line="252" w:lineRule="auto"/>
            </w:pPr>
            <w:r>
              <w:rPr>
                <w:rFonts w:ascii="Arial" w:hAnsi="Arial"/>
                <w:sz w:val="18"/>
              </w:rPr>
              <w:t>PPO BTC 2M</w:t>
            </w:r>
          </w:p>
        </w:tc>
        <w:tc>
          <w:tcPr>
            <w:tcW w:type="dxa" w:w="2448"/>
            <w:vAlign w:val="center"/>
          </w:tcPr>
          <w:p>
            <w:pPr>
              <w:spacing w:after="40" w:line="252" w:lineRule="auto"/>
            </w:pPr>
            <w:r>
              <w:rPr>
                <w:rFonts w:ascii="Arial" w:hAnsi="Arial"/>
                <w:sz w:val="18"/>
              </w:rPr>
              <w:t>Return OOS</w:t>
            </w:r>
          </w:p>
        </w:tc>
        <w:tc>
          <w:tcPr>
            <w:tcW w:type="dxa" w:w="2448"/>
            <w:vAlign w:val="center"/>
          </w:tcPr>
          <w:p>
            <w:pPr>
              <w:spacing w:after="40" w:line="252" w:lineRule="auto"/>
            </w:pPr>
            <w:r>
              <w:rPr>
                <w:rFonts w:ascii="Arial" w:hAnsi="Arial"/>
                <w:sz w:val="18"/>
              </w:rPr>
              <w:t>-2.33%</w:t>
            </w:r>
          </w:p>
        </w:tc>
        <w:tc>
          <w:tcPr>
            <w:tcW w:type="dxa" w:w="2448"/>
            <w:vAlign w:val="center"/>
          </w:tcPr>
          <w:p>
            <w:pPr>
              <w:spacing w:after="40" w:line="252" w:lineRule="auto"/>
            </w:pPr>
            <w:r>
              <w:rPr>
                <w:rFonts w:ascii="Arial" w:hAnsi="Arial"/>
                <w:sz w:val="18"/>
              </w:rPr>
              <w:t>Model tốt hơn bản risk lỗi, nhưng chưa có edge so với baseline.</w:t>
            </w:r>
          </w:p>
        </w:tc>
      </w:tr>
      <w:tr>
        <w:tc>
          <w:tcPr>
            <w:tcW w:type="dxa" w:w="2448"/>
            <w:vAlign w:val="center"/>
          </w:tcPr>
          <w:p>
            <w:pPr>
              <w:spacing w:after="40" w:line="252" w:lineRule="auto"/>
            </w:pPr>
            <w:r>
              <w:rPr>
                <w:rFonts w:ascii="Arial" w:hAnsi="Arial"/>
                <w:sz w:val="18"/>
              </w:rPr>
              <w:t>PPO BTC 2M</w:t>
            </w:r>
          </w:p>
        </w:tc>
        <w:tc>
          <w:tcPr>
            <w:tcW w:type="dxa" w:w="2448"/>
            <w:vAlign w:val="center"/>
          </w:tcPr>
          <w:p>
            <w:pPr>
              <w:spacing w:after="40" w:line="252" w:lineRule="auto"/>
            </w:pPr>
            <w:r>
              <w:rPr>
                <w:rFonts w:ascii="Arial" w:hAnsi="Arial"/>
                <w:sz w:val="18"/>
              </w:rPr>
              <w:t>Max drawdown</w:t>
            </w:r>
          </w:p>
        </w:tc>
        <w:tc>
          <w:tcPr>
            <w:tcW w:type="dxa" w:w="2448"/>
            <w:vAlign w:val="center"/>
          </w:tcPr>
          <w:p>
            <w:pPr>
              <w:spacing w:after="40" w:line="252" w:lineRule="auto"/>
            </w:pPr>
            <w:r>
              <w:rPr>
                <w:rFonts w:ascii="Arial" w:hAnsi="Arial"/>
                <w:sz w:val="18"/>
              </w:rPr>
              <w:t>-14.92%</w:t>
            </w:r>
          </w:p>
        </w:tc>
        <w:tc>
          <w:tcPr>
            <w:tcW w:type="dxa" w:w="2448"/>
            <w:vAlign w:val="center"/>
          </w:tcPr>
          <w:p>
            <w:pPr>
              <w:spacing w:after="40" w:line="252" w:lineRule="auto"/>
            </w:pPr>
            <w:r>
              <w:rPr>
                <w:rFonts w:ascii="Arial" w:hAnsi="Arial"/>
                <w:sz w:val="18"/>
              </w:rPr>
              <w:t>Rủi ro vẫn đáng kể, cần cải thiện reward/HPO/seed.</w:t>
            </w:r>
          </w:p>
        </w:tc>
      </w:tr>
      <w:tr>
        <w:tc>
          <w:tcPr>
            <w:tcW w:type="dxa" w:w="2448"/>
            <w:vAlign w:val="center"/>
          </w:tcPr>
          <w:p>
            <w:pPr>
              <w:spacing w:after="40" w:line="252" w:lineRule="auto"/>
            </w:pPr>
            <w:r>
              <w:rPr>
                <w:rFonts w:ascii="Arial" w:hAnsi="Arial"/>
                <w:sz w:val="18"/>
              </w:rPr>
              <w:t>PPO BTC 2M</w:t>
            </w:r>
          </w:p>
        </w:tc>
        <w:tc>
          <w:tcPr>
            <w:tcW w:type="dxa" w:w="2448"/>
            <w:vAlign w:val="center"/>
          </w:tcPr>
          <w:p>
            <w:pPr>
              <w:spacing w:after="40" w:line="252" w:lineRule="auto"/>
            </w:pPr>
            <w:r>
              <w:rPr>
                <w:rFonts w:ascii="Arial" w:hAnsi="Arial"/>
                <w:sz w:val="18"/>
              </w:rPr>
              <w:t>Win rate</w:t>
            </w:r>
          </w:p>
        </w:tc>
        <w:tc>
          <w:tcPr>
            <w:tcW w:type="dxa" w:w="2448"/>
            <w:vAlign w:val="center"/>
          </w:tcPr>
          <w:p>
            <w:pPr>
              <w:spacing w:after="40" w:line="252" w:lineRule="auto"/>
            </w:pPr>
            <w:r>
              <w:rPr>
                <w:rFonts w:ascii="Arial" w:hAnsi="Arial"/>
                <w:sz w:val="18"/>
              </w:rPr>
              <w:t>35.28% trên 343 trades</w:t>
            </w:r>
          </w:p>
        </w:tc>
        <w:tc>
          <w:tcPr>
            <w:tcW w:type="dxa" w:w="2448"/>
            <w:vAlign w:val="center"/>
          </w:tcPr>
          <w:p>
            <w:pPr>
              <w:spacing w:after="40" w:line="252" w:lineRule="auto"/>
            </w:pPr>
            <w:r>
              <w:rPr>
                <w:rFonts w:ascii="Arial" w:hAnsi="Arial"/>
                <w:sz w:val="18"/>
              </w:rPr>
              <w:t>Tần suất thắng thấp; cần xem thêm risk/reward từng lệnh.</w:t>
            </w:r>
          </w:p>
        </w:tc>
      </w:tr>
      <w:tr>
        <w:tc>
          <w:tcPr>
            <w:tcW w:type="dxa" w:w="2448"/>
            <w:vAlign w:val="center"/>
          </w:tcPr>
          <w:p>
            <w:pPr>
              <w:spacing w:after="40" w:line="252" w:lineRule="auto"/>
            </w:pPr>
            <w:r>
              <w:rPr>
                <w:rFonts w:ascii="Arial" w:hAnsi="Arial"/>
                <w:sz w:val="18"/>
              </w:rPr>
              <w:t>Baseline</w:t>
            </w:r>
          </w:p>
        </w:tc>
        <w:tc>
          <w:tcPr>
            <w:tcW w:type="dxa" w:w="2448"/>
            <w:vAlign w:val="center"/>
          </w:tcPr>
          <w:p>
            <w:pPr>
              <w:spacing w:after="40" w:line="252" w:lineRule="auto"/>
            </w:pPr>
            <w:r>
              <w:rPr>
                <w:rFonts w:ascii="Arial" w:hAnsi="Arial"/>
                <w:sz w:val="18"/>
              </w:rPr>
              <w:t>Buy &amp; Hold / MA / RSI / Random</w:t>
            </w:r>
          </w:p>
        </w:tc>
        <w:tc>
          <w:tcPr>
            <w:tcW w:type="dxa" w:w="2448"/>
            <w:vAlign w:val="center"/>
          </w:tcPr>
          <w:p>
            <w:pPr>
              <w:spacing w:after="40" w:line="252" w:lineRule="auto"/>
            </w:pPr>
            <w:r>
              <w:rPr>
                <w:rFonts w:ascii="Arial" w:hAnsi="Arial"/>
                <w:sz w:val="18"/>
              </w:rPr>
              <w:t>+8.26% / +4.01% / +9.44% / -3.87%</w:t>
            </w:r>
          </w:p>
        </w:tc>
        <w:tc>
          <w:tcPr>
            <w:tcW w:type="dxa" w:w="2448"/>
            <w:vAlign w:val="center"/>
          </w:tcPr>
          <w:p>
            <w:pPr>
              <w:spacing w:after="40" w:line="252" w:lineRule="auto"/>
            </w:pPr>
            <w:r>
              <w:rPr>
                <w:rFonts w:ascii="Arial" w:hAnsi="Arial"/>
                <w:sz w:val="18"/>
              </w:rPr>
              <w:t>RSI và Buy &amp; Hold thắng PPO trên test window này.</w:t>
            </w:r>
          </w:p>
        </w:tc>
      </w:tr>
      <w:tr>
        <w:tc>
          <w:tcPr>
            <w:tcW w:type="dxa" w:w="2448"/>
            <w:vAlign w:val="center"/>
          </w:tcPr>
          <w:p>
            <w:pPr>
              <w:spacing w:after="40" w:line="252" w:lineRule="auto"/>
            </w:pPr>
            <w:r>
              <w:rPr>
                <w:rFonts w:ascii="Arial" w:hAnsi="Arial"/>
                <w:sz w:val="18"/>
              </w:rPr>
              <w:t>Stress cost x2</w:t>
            </w:r>
          </w:p>
        </w:tc>
        <w:tc>
          <w:tcPr>
            <w:tcW w:type="dxa" w:w="2448"/>
            <w:vAlign w:val="center"/>
          </w:tcPr>
          <w:p>
            <w:pPr>
              <w:spacing w:after="40" w:line="252" w:lineRule="auto"/>
            </w:pPr>
            <w:r>
              <w:rPr>
                <w:rFonts w:ascii="Arial" w:hAnsi="Arial"/>
                <w:sz w:val="18"/>
              </w:rPr>
              <w:t>Return OOS</w:t>
            </w:r>
          </w:p>
        </w:tc>
        <w:tc>
          <w:tcPr>
            <w:tcW w:type="dxa" w:w="2448"/>
            <w:vAlign w:val="center"/>
          </w:tcPr>
          <w:p>
            <w:pPr>
              <w:spacing w:after="40" w:line="252" w:lineRule="auto"/>
            </w:pPr>
            <w:r>
              <w:rPr>
                <w:rFonts w:ascii="Arial" w:hAnsi="Arial"/>
                <w:sz w:val="18"/>
              </w:rPr>
              <w:t>-9.55%</w:t>
            </w:r>
          </w:p>
        </w:tc>
        <w:tc>
          <w:tcPr>
            <w:tcW w:type="dxa" w:w="2448"/>
            <w:vAlign w:val="center"/>
          </w:tcPr>
          <w:p>
            <w:pPr>
              <w:spacing w:after="40" w:line="252" w:lineRule="auto"/>
            </w:pPr>
            <w:r>
              <w:rPr>
                <w:rFonts w:ascii="Arial" w:hAnsi="Arial"/>
                <w:sz w:val="18"/>
              </w:rPr>
              <w:t>Chiến lược khá nhạy với phí/slippage, cần cải tiến trước khi paper trading dài hạn.</w:t>
            </w:r>
          </w:p>
        </w:tc>
      </w:tr>
      <w:tr>
        <w:tc>
          <w:tcPr>
            <w:tcW w:type="dxa" w:w="2448"/>
            <w:vAlign w:val="center"/>
          </w:tcPr>
          <w:p>
            <w:pPr>
              <w:spacing w:after="40" w:line="252" w:lineRule="auto"/>
            </w:pPr>
            <w:r>
              <w:rPr>
                <w:rFonts w:ascii="Arial" w:hAnsi="Arial"/>
                <w:sz w:val="18"/>
              </w:rPr>
              <w:t>Overfit report</w:t>
            </w:r>
          </w:p>
        </w:tc>
        <w:tc>
          <w:tcPr>
            <w:tcW w:type="dxa" w:w="2448"/>
            <w:vAlign w:val="center"/>
          </w:tcPr>
          <w:p>
            <w:pPr>
              <w:spacing w:after="40" w:line="252" w:lineRule="auto"/>
            </w:pPr>
            <w:r>
              <w:rPr>
                <w:rFonts w:ascii="Arial" w:hAnsi="Arial"/>
                <w:sz w:val="18"/>
              </w:rPr>
              <w:t>Risk flag</w:t>
            </w:r>
          </w:p>
        </w:tc>
        <w:tc>
          <w:tcPr>
            <w:tcW w:type="dxa" w:w="2448"/>
            <w:vAlign w:val="center"/>
          </w:tcPr>
          <w:p>
            <w:pPr>
              <w:spacing w:after="40" w:line="252" w:lineRule="auto"/>
            </w:pPr>
            <w:r>
              <w:rPr>
                <w:rFonts w:ascii="Arial" w:hAnsi="Arial"/>
                <w:sz w:val="18"/>
              </w:rPr>
              <w:t>High</w:t>
            </w:r>
          </w:p>
        </w:tc>
        <w:tc>
          <w:tcPr>
            <w:tcW w:type="dxa" w:w="2448"/>
            <w:vAlign w:val="center"/>
          </w:tcPr>
          <w:p>
            <w:pPr>
              <w:spacing w:after="40" w:line="252" w:lineRule="auto"/>
            </w:pPr>
            <w:r>
              <w:rPr>
                <w:rFonts w:ascii="Arial" w:hAnsi="Arial"/>
                <w:sz w:val="18"/>
              </w:rPr>
              <w:t>Báo cáo không kết luận SOTA; dùng làm cơ sở chọn hướng cải tiến tiếp.</w:t>
            </w:r>
          </w:p>
        </w:tc>
      </w:tr>
    </w:tbl>
    <w:p>
      <w:r>
        <w:rPr>
          <w:b/>
        </w:rPr>
        <w:t xml:space="preserve">Kết luận báo cáo: </w:t>
      </w:r>
      <w:r>
        <w:t>điểm mạnh của bản bổ sung không phải là tuyên bố lợi nhuận cao, mà là hệ thống đã có cơ chế phát hiện overfitting: model phải được so với baseline, kiểm tra stress cost, và ghi lại cảnh báo PBO-style. Đây là cơ sở hợp lý để đề xuất các bước tiếp theo như Optuna, RecurrentPPO/CNN candidate, multi-seed và tinh chỉnh reward.</w:t>
      </w:r>
    </w:p>
    <w:p>
      <w:r>
        <w:rPr>
          <w:b/>
        </w:rPr>
        <w:t xml:space="preserve">Artifact chính: </w:t>
      </w:r>
      <w:r>
        <w:t>artifacts/models/BTCUSDT/1h/btc_2m_risk_normalized_20260527 gồm model.zip, metrics.json, baseline_metrics.json, walk_forward_metrics.json, stress_test_metrics.json, overfit_report.json và các hình equity/drawdown/baseline/stress.</w:t>
      </w:r>
    </w:p>
    <w:p>
      <w:pPr>
        <w:pStyle w:val="Heading1"/>
      </w:pPr>
      <w:r>
        <w:t>7. Tài liệu tham khảo bổ sung</w:t>
      </w:r>
    </w:p>
    <w:p>
      <w:pPr>
        <w:pStyle w:val="ListBullet"/>
      </w:pPr>
      <w:r>
        <w:t>Schulman et al. (2017), Proximal Policy Optimization Algorithms, https://arxiv.org/abs/1707.06347</w:t>
      </w:r>
    </w:p>
    <w:p>
      <w:pPr>
        <w:pStyle w:val="ListBullet"/>
      </w:pPr>
      <w:r>
        <w:t>Liu et al. (2020), FinRL: A Deep Reinforcement Learning Library for Automated Stock Trading, https://arxiv.org/abs/2011.09607</w:t>
      </w:r>
    </w:p>
    <w:p>
      <w:pPr>
        <w:pStyle w:val="ListBullet"/>
      </w:pPr>
      <w:r>
        <w:t>Yang et al. (2020), Deep Reinforcement Learning for Automated Stock Trading: An Ensemble Strategy, https://openfin.engineering.columbia.edu/sites/default/files/content/publications/ensemble.pdf</w:t>
      </w:r>
    </w:p>
    <w:p>
      <w:pPr>
        <w:pStyle w:val="ListBullet"/>
      </w:pPr>
      <w:r>
        <w:t>Deep Reinforcement Learning for Trading - A Critical Survey, https://www.mdpi.com/2306-5729/6/11/119</w:t>
      </w:r>
    </w:p>
    <w:p>
      <w:pPr>
        <w:pStyle w:val="ListBullet"/>
      </w:pPr>
      <w:r>
        <w:t>Lucarelli &amp; Borrotti (2022), Deep Reinforcement Learning for Cryptocurrency Trading: Practical Approach to Address Backtest Overfitting, https://arxiv.org/abs/2209.05559</w:t>
      </w:r>
    </w:p>
    <w:p>
      <w:pPr>
        <w:pStyle w:val="ListBullet"/>
      </w:pPr>
      <w:r>
        <w:t>Binance Spot API Documentation, https://developers.binance.com/docs/binance-spot-api-docs/rest-api/market-data-endpoints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