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412"/>
      </w:tblGrid>
      <w:tr>
        <w:trPr>
          <w:trHeight w:val="13323" w:hRule="exact"/>
        </w:trPr>
        <w:tc>
          <w:tcPr>
            <w:tcW w:type="dxa" w:w="9411"/>
            <w:tcBorders>
              <w:top w:val="nil"/>
              <w:left w:val="nil"/>
              <w:bottom w:val="nil"/>
              <w:right w:val="nil"/>
            </w:tcBorders>
            <w:shd w:val="clear" w:color="auto" w:fill="B61D22"/>
            <w:vAlign w:val="top"/>
          </w:tcPr>
          <w:p>
            <w:pPr>
              <w:spacing w:before="720"/>
              <w:ind w:left="454"/>
            </w:pPr>
            <w:r>
              <w:drawing>
                <wp:inline xmlns:a="http://schemas.openxmlformats.org/drawingml/2006/main" xmlns:pic="http://schemas.openxmlformats.org/drawingml/2006/picture">
                  <wp:extent cx="1655999" cy="667109"/>
                  <wp:docPr id="1" name="Picture 1"/>
                  <wp:cNvGraphicFramePr>
                    <a:graphicFrameLocks noChangeAspect="1"/>
                  </wp:cNvGraphicFramePr>
                  <a:graphic>
                    <a:graphicData uri="http://schemas.openxmlformats.org/drawingml/2006/picture">
                      <pic:pic>
                        <pic:nvPicPr>
                          <pic:cNvPr id="0" name="logo_white.png"/>
                          <pic:cNvPicPr/>
                        </pic:nvPicPr>
                        <pic:blipFill>
                          <a:blip r:embed="rId11"/>
                          <a:stretch>
                            <a:fillRect/>
                          </a:stretch>
                        </pic:blipFill>
                        <pic:spPr>
                          <a:xfrm>
                            <a:off x="0" y="0"/>
                            <a:ext cx="1655999" cy="667109"/>
                          </a:xfrm>
                          <a:prstGeom prst="rect"/>
                        </pic:spPr>
                      </pic:pic>
                    </a:graphicData>
                  </a:graphic>
                </wp:inline>
              </w:drawing>
            </w:r>
          </w:p>
          <w:p>
            <w:pPr>
              <w:spacing w:before="3800" w:line="264" w:lineRule="auto"/>
              <w:ind w:left="454"/>
            </w:pPr>
            <w:r>
              <w:rPr>
                <w:rFonts w:ascii="Liberation Sans" w:hAnsi="Liberation Sans" w:eastAsia="Liberation Sans" w:cs="Liberation Sans"/>
                <w:b/>
                <w:color w:val="FFFFFF"/>
                <w:sz w:val="68"/>
              </w:rPr>
              <w:t>Báo cáo tài chính</w:t>
              <w:br/>
              <w:t>quý I/2026</w:t>
            </w:r>
          </w:p>
          <w:p>
            <w:pPr>
              <w:ind w:left="454"/>
            </w:pPr>
            <w:r>
              <w:rPr>
                <w:rFonts w:ascii="Liberation Sans" w:hAnsi="Liberation Sans" w:eastAsia="Liberation Sans" w:cs="Liberation Sans"/>
                <w:b/>
                <w:color w:val="FCC743"/>
                <w:sz w:val="28"/>
              </w:rPr>
              <w:t>▬▬▬</w:t>
            </w:r>
          </w:p>
          <w:p>
            <w:pPr>
              <w:ind w:left="454"/>
            </w:pPr>
            <w:r>
              <w:rPr>
                <w:rFonts w:ascii="Liberation Sans" w:hAnsi="Liberation Sans" w:eastAsia="Liberation Sans" w:cs="Liberation Sans"/>
                <w:b w:val="0"/>
                <w:color w:val="FFFFFF"/>
                <w:sz w:val="32"/>
              </w:rPr>
              <w:t>Ngân hàng TNHH MTV Việt Nam Hiện Đại (MBV) — BẢN NHÁP</w:t>
            </w:r>
          </w:p>
          <w:p>
            <w:pPr>
              <w:spacing w:before="2400"/>
              <w:ind w:left="454"/>
            </w:pPr>
            <w:r>
              <w:rPr>
                <w:rFonts w:ascii="Liberation Sans" w:hAnsi="Liberation Sans" w:eastAsia="Liberation Sans" w:cs="Liberation Sans"/>
                <w:b/>
                <w:color w:val="FCC743"/>
                <w:sz w:val="22"/>
              </w:rPr>
              <w:t>Kỳ báo cáo: 01/01/2026 – 31/03/2026 · Lập ngày 06/10/2026</w:t>
            </w:r>
          </w:p>
        </w:tc>
      </w:tr>
    </w:tbl>
    <w:p>
      <w:r>
        <w:br w:type="page"/>
      </w:r>
    </w:p>
    <w:p>
      <w:pPr>
        <w:pStyle w:val="Heading1"/>
      </w:pPr>
      <w:r>
        <w:t>1. Tóm tắt và lưu ý về số liệu</w:t>
      </w:r>
    </w:p>
    <w:tbl>
      <w:tblPr>
        <w:tblW w:type="auto" w:w="0"/>
        <w:tblLayout w:type="fixed"/>
        <w:tblLook w:firstColumn="1" w:firstRow="1" w:lastColumn="0" w:lastRow="0" w:noHBand="0" w:noVBand="1" w:val="04A0"/>
      </w:tblPr>
      <w:tblGrid>
        <w:gridCol w:w="9412"/>
      </w:tblGrid>
      <w:tr>
        <w:tc>
          <w:tcPr>
            <w:tcW w:type="dxa" w:w="9411"/>
            <w:tcBorders>
              <w:top w:val="nil"/>
              <w:bottom w:val="nil"/>
              <w:right w:val="nil"/>
              <w:left w:val="single" w:sz="36" w:color="B61D22"/>
            </w:tcBorders>
            <w:shd w:val="clear" w:color="auto" w:fill="F4F1EC"/>
          </w:tcPr>
          <w:p>
            <w:r>
              <w:rPr>
                <w:rFonts w:ascii="Liberation Sans" w:hAnsi="Liberation Sans" w:eastAsia="Liberation Sans" w:cs="Liberation Sans"/>
                <w:b/>
                <w:color w:val="B61D22"/>
                <w:sz w:val="22"/>
              </w:rPr>
              <w:t>Lưu ý quan trọng</w:t>
            </w:r>
          </w:p>
          <w:p>
            <w:r>
              <w:rPr>
                <w:rFonts w:ascii="Liberation Sans" w:hAnsi="Liberation Sans" w:eastAsia="Liberation Sans" w:cs="Liberation Sans"/>
              </w:rPr>
              <w:t>MBV là ngân hàng 100% vốn của MB, không niêm yết. Trong các nguồn công khai tìm được, chưa có báo cáo tài chính riêng của MBV cho quý I/2026. Các số liệu ở Mục 3 là kết quả hợp nhất của MB (công ty mẹ), dùng làm bối cảnh, KHÔNG phải số liệu của MBV. Bảng ở Mục 4 để trống, cần điền từ báo cáo tài chính chính thức của MBV.</w:t>
            </w:r>
          </w:p>
        </w:tc>
      </w:tr>
    </w:tbl>
    <w:p/>
    <w:p>
      <w:pPr>
        <w:pStyle w:val="ListBullet"/>
      </w:pPr>
      <w:r>
        <w:rPr>
          <w:rFonts w:ascii="Liberation Sans" w:hAnsi="Liberation Sans" w:eastAsia="Liberation Sans" w:cs="Liberation Sans"/>
        </w:rPr>
        <w:t>Tài liệu này là bản nháp theo quy chuẩn nhận diện MBV, chưa được MBV xác nhận.</w:t>
      </w:r>
    </w:p>
    <w:p>
      <w:pPr>
        <w:pStyle w:val="ListBullet"/>
      </w:pPr>
      <w:r>
        <w:rPr>
          <w:rFonts w:ascii="Liberation Sans" w:hAnsi="Liberation Sans" w:eastAsia="Liberation Sans" w:cs="Liberation Sans"/>
        </w:rPr>
        <w:t>Số liệu MB lấy từ các bài báo công bố kết quả quý I/2026, chưa đối chiếu với báo cáo tài chính gốc.</w:t>
      </w:r>
    </w:p>
    <w:p>
      <w:pPr>
        <w:pStyle w:val="ListBullet"/>
      </w:pPr>
      <w:r>
        <w:rPr>
          <w:rFonts w:ascii="Liberation Sans" w:hAnsi="Liberation Sans" w:eastAsia="Liberation Sans" w:cs="Liberation Sans"/>
        </w:rPr>
        <w:t>Khi có báo cáo tài chính của MBV, chỉ cần điền Mục 4 và cập nhật phần nhận định.</w:t>
      </w:r>
    </w:p>
    <w:p>
      <w:pPr>
        <w:pStyle w:val="Heading1"/>
      </w:pPr>
      <w:r>
        <w:t>2. Giới thiệu MBV</w:t>
      </w:r>
    </w:p>
    <w:p>
      <w:r>
        <w:rPr>
          <w:rFonts w:ascii="Liberation Sans" w:hAnsi="Liberation Sans" w:eastAsia="Liberation Sans" w:cs="Liberation Sans"/>
          <w:b w:val="0"/>
          <w:i w:val="0"/>
        </w:rPr>
        <w:t>MBV (Modern Bank of Vietnam) là tên gọi mới của OceanBank từ tháng 03/2025, sau khi MB nhận chuyển giao bắt buộc và sở hữu 100% vốn điều lệ. MBV là thành viên của hệ sinh thái MB Group, gồm ba ngân hàng (MB, MB Campuchia, MBV) và các công ty thành viên. Bộ nhận diện mới được áp dụng tại 101 điểm giao dịch trên toàn quốc.</w:t>
      </w:r>
    </w:p>
    <w:p>
      <w:pPr>
        <w:pStyle w:val="Heading1"/>
      </w:pPr>
      <w:r>
        <w:t>3. Bối cảnh: kết quả hợp nhất của MB quý I/2026</w:t>
      </w:r>
    </w:p>
    <w:p>
      <w:r>
        <w:rPr>
          <w:rFonts w:ascii="Liberation Sans" w:hAnsi="Liberation Sans" w:eastAsia="Liberation Sans" w:cs="Liberation Sans"/>
          <w:b w:val="0"/>
          <w:i w:val="0"/>
        </w:rPr>
        <w:t>Đây là số liệu của MB Group hợp nhất (công ty mẹ của MBV), nêu để tham chiếu bối cảnh hệ thống.</w:t>
      </w:r>
    </w:p>
    <w:tbl>
      <w:tblPr>
        <w:tblW w:type="auto" w:w="0"/>
        <w:jc w:val="center"/>
        <w:tblLayout w:type="fixed"/>
        <w:tblLook w:firstColumn="1" w:firstRow="1" w:lastColumn="0" w:lastRow="0" w:noHBand="0" w:noVBand="1" w:val="04A0"/>
      </w:tblPr>
      <w:tblGrid>
        <w:gridCol w:w="3137"/>
        <w:gridCol w:w="3137"/>
        <w:gridCol w:w="3137"/>
      </w:tblGrid>
      <w:tr>
        <w:tc>
          <w:tcPr>
            <w:tcW w:type="dxa" w:w="4309"/>
            <w:tcBorders>
              <w:top w:val="nil"/>
              <w:left w:val="nil"/>
              <w:bottom w:val="single" w:sz="4" w:color="D9D5CE"/>
              <w:right w:val="nil"/>
            </w:tcBorders>
            <w:shd w:val="clear" w:color="auto" w:fill="B61D22"/>
          </w:tcPr>
          <w:p>
            <w:pPr>
              <w:spacing w:after="60" w:before="60"/>
            </w:pPr>
            <w:r>
              <w:rPr>
                <w:rFonts w:ascii="Liberation Sans" w:hAnsi="Liberation Sans" w:eastAsia="Liberation Sans" w:cs="Liberation Sans"/>
                <w:b/>
                <w:color w:val="FFFFFF"/>
                <w:sz w:val="21"/>
              </w:rPr>
              <w:t>Chỉ tiêu (hợp nhất MB)</w:t>
            </w:r>
          </w:p>
        </w:tc>
        <w:tc>
          <w:tcPr>
            <w:tcW w:type="dxa" w:w="2721"/>
            <w:tcBorders>
              <w:top w:val="nil"/>
              <w:left w:val="nil"/>
              <w:bottom w:val="single" w:sz="4" w:color="D9D5CE"/>
              <w:right w:val="nil"/>
            </w:tcBorders>
            <w:shd w:val="clear" w:color="auto" w:fill="B61D22"/>
          </w:tcPr>
          <w:p>
            <w:pPr>
              <w:spacing w:after="60" w:before="60"/>
              <w:jc w:val="right"/>
            </w:pPr>
            <w:r>
              <w:rPr>
                <w:rFonts w:ascii="Liberation Sans" w:hAnsi="Liberation Sans" w:eastAsia="Liberation Sans" w:cs="Liberation Sans"/>
                <w:b/>
                <w:color w:val="FFFFFF"/>
                <w:sz w:val="21"/>
              </w:rPr>
              <w:t>Quý I/2026</w:t>
            </w:r>
          </w:p>
        </w:tc>
        <w:tc>
          <w:tcPr>
            <w:tcW w:type="dxa" w:w="2381"/>
            <w:tcBorders>
              <w:top w:val="nil"/>
              <w:left w:val="nil"/>
              <w:bottom w:val="single" w:sz="4" w:color="D9D5CE"/>
              <w:right w:val="nil"/>
            </w:tcBorders>
            <w:shd w:val="clear" w:color="auto" w:fill="B61D22"/>
          </w:tcPr>
          <w:p>
            <w:pPr>
              <w:spacing w:after="60" w:before="60"/>
              <w:jc w:val="right"/>
            </w:pPr>
            <w:r>
              <w:rPr>
                <w:rFonts w:ascii="Liberation Sans" w:hAnsi="Liberation Sans" w:eastAsia="Liberation Sans" w:cs="Liberation Sans"/>
                <w:b/>
                <w:color w:val="FFFFFF"/>
                <w:sz w:val="21"/>
              </w:rPr>
              <w:t>So cùng kỳ</w:t>
            </w:r>
          </w:p>
        </w:tc>
      </w:tr>
      <w:tr>
        <w:tc>
          <w:tcPr>
            <w:tcW w:type="dxa" w:w="4309"/>
            <w:tcBorders>
              <w:top w:val="nil"/>
              <w:left w:val="nil"/>
              <w:bottom w:val="single" w:sz="4" w:color="D9D5CE"/>
              <w:right w:val="nil"/>
            </w:tcBorders>
            <w:shd w:val="clear" w:color="auto" w:fill="FFFFFF"/>
          </w:tcPr>
          <w:p>
            <w:pPr>
              <w:spacing w:after="60" w:before="60"/>
            </w:pPr>
            <w:r>
              <w:rPr>
                <w:rFonts w:ascii="Liberation Sans" w:hAnsi="Liberation Sans" w:eastAsia="Liberation Sans" w:cs="Liberation Sans"/>
                <w:b w:val="0"/>
                <w:color w:val="1C1C1E"/>
                <w:sz w:val="21"/>
              </w:rPr>
              <w:t>Lợi nhuận trước thuế</w:t>
            </w:r>
          </w:p>
        </w:tc>
        <w:tc>
          <w:tcPr>
            <w:tcW w:type="dxa" w:w="2721"/>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9.628 tỷ đồng</w:t>
            </w:r>
          </w:p>
        </w:tc>
        <w:tc>
          <w:tcPr>
            <w:tcW w:type="dxa" w:w="2381"/>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+14,8%</w:t>
            </w:r>
          </w:p>
        </w:tc>
      </w:tr>
      <w:tr>
        <w:tc>
          <w:tcPr>
            <w:tcW w:type="dxa" w:w="4309"/>
            <w:tcBorders>
              <w:top w:val="nil"/>
              <w:left w:val="nil"/>
              <w:bottom w:val="single" w:sz="4" w:color="D9D5CE"/>
              <w:right w:val="nil"/>
            </w:tcBorders>
            <w:shd w:val="clear" w:color="auto" w:fill="F4F1EC"/>
          </w:tcPr>
          <w:p>
            <w:pPr>
              <w:spacing w:after="60" w:before="60"/>
            </w:pPr>
            <w:r>
              <w:rPr>
                <w:rFonts w:ascii="Liberation Sans" w:hAnsi="Liberation Sans" w:eastAsia="Liberation Sans" w:cs="Liberation Sans"/>
                <w:b w:val="0"/>
                <w:color w:val="1C1C1E"/>
                <w:sz w:val="21"/>
              </w:rPr>
              <w:t>Lợi nhuận sau thuế</w:t>
            </w:r>
          </w:p>
        </w:tc>
        <w:tc>
          <w:tcPr>
            <w:tcW w:type="dxa" w:w="2721"/>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7.703 tỷ đồng</w:t>
            </w:r>
          </w:p>
        </w:tc>
        <w:tc>
          <w:tcPr>
            <w:tcW w:type="dxa" w:w="2381"/>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+15,4%</w:t>
            </w:r>
          </w:p>
        </w:tc>
      </w:tr>
      <w:tr>
        <w:tc>
          <w:tcPr>
            <w:tcW w:type="dxa" w:w="4309"/>
            <w:tcBorders>
              <w:top w:val="nil"/>
              <w:left w:val="nil"/>
              <w:bottom w:val="single" w:sz="4" w:color="D9D5CE"/>
              <w:right w:val="nil"/>
            </w:tcBorders>
            <w:shd w:val="clear" w:color="auto" w:fill="FFFFFF"/>
          </w:tcPr>
          <w:p>
            <w:pPr>
              <w:spacing w:after="60" w:before="60"/>
            </w:pPr>
            <w:r>
              <w:rPr>
                <w:rFonts w:ascii="Liberation Sans" w:hAnsi="Liberation Sans" w:eastAsia="Liberation Sans" w:cs="Liberation Sans"/>
                <w:b w:val="0"/>
                <w:color w:val="1C1C1E"/>
                <w:sz w:val="21"/>
              </w:rPr>
              <w:t>Thu nhập lãi thuần</w:t>
            </w:r>
          </w:p>
        </w:tc>
        <w:tc>
          <w:tcPr>
            <w:tcW w:type="dxa" w:w="2721"/>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14.913 tỷ đồng</w:t>
            </w:r>
          </w:p>
        </w:tc>
        <w:tc>
          <w:tcPr>
            <w:tcW w:type="dxa" w:w="2381"/>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+27,5%</w:t>
            </w:r>
          </w:p>
        </w:tc>
      </w:tr>
      <w:tr>
        <w:tc>
          <w:tcPr>
            <w:tcW w:type="dxa" w:w="4309"/>
            <w:tcBorders>
              <w:top w:val="nil"/>
              <w:left w:val="nil"/>
              <w:bottom w:val="single" w:sz="4" w:color="D9D5CE"/>
              <w:right w:val="nil"/>
            </w:tcBorders>
            <w:shd w:val="clear" w:color="auto" w:fill="F4F1EC"/>
          </w:tcPr>
          <w:p>
            <w:pPr>
              <w:spacing w:after="60" w:before="60"/>
            </w:pPr>
            <w:r>
              <w:rPr>
                <w:rFonts w:ascii="Liberation Sans" w:hAnsi="Liberation Sans" w:eastAsia="Liberation Sans" w:cs="Liberation Sans"/>
                <w:b w:val="0"/>
                <w:color w:val="1C1C1E"/>
                <w:sz w:val="21"/>
              </w:rPr>
              <w:t>Thu nhập từ hoạt động dịch vụ</w:t>
            </w:r>
          </w:p>
        </w:tc>
        <w:tc>
          <w:tcPr>
            <w:tcW w:type="dxa" w:w="2721"/>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1.709 tỷ đồng</w:t>
            </w:r>
          </w:p>
        </w:tc>
        <w:tc>
          <w:tcPr>
            <w:tcW w:type="dxa" w:w="2381"/>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+38,3%</w:t>
            </w:r>
          </w:p>
        </w:tc>
      </w:tr>
      <w:tr>
        <w:tc>
          <w:tcPr>
            <w:tcW w:type="dxa" w:w="4309"/>
            <w:tcBorders>
              <w:top w:val="nil"/>
              <w:left w:val="nil"/>
              <w:bottom w:val="single" w:sz="4" w:color="D9D5CE"/>
              <w:right w:val="nil"/>
            </w:tcBorders>
            <w:shd w:val="clear" w:color="auto" w:fill="FFFFFF"/>
          </w:tcPr>
          <w:p>
            <w:pPr>
              <w:spacing w:after="60" w:before="60"/>
            </w:pPr>
            <w:r>
              <w:rPr>
                <w:rFonts w:ascii="Liberation Sans" w:hAnsi="Liberation Sans" w:eastAsia="Liberation Sans" w:cs="Liberation Sans"/>
                <w:b w:val="0"/>
                <w:color w:val="1C1C1E"/>
                <w:sz w:val="21"/>
              </w:rPr>
              <w:t>Tổng thu nhập hoạt động</w:t>
            </w:r>
          </w:p>
        </w:tc>
        <w:tc>
          <w:tcPr>
            <w:tcW w:type="dxa" w:w="2721"/>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17.430 tỷ đồng</w:t>
            </w:r>
          </w:p>
        </w:tc>
        <w:tc>
          <w:tcPr>
            <w:tcW w:type="dxa" w:w="2381"/>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w:t>
            </w:r>
          </w:p>
        </w:tc>
      </w:tr>
      <w:tr>
        <w:tc>
          <w:tcPr>
            <w:tcW w:type="dxa" w:w="4309"/>
            <w:tcBorders>
              <w:top w:val="nil"/>
              <w:left w:val="nil"/>
              <w:bottom w:val="single" w:sz="4" w:color="D9D5CE"/>
              <w:right w:val="nil"/>
            </w:tcBorders>
            <w:shd w:val="clear" w:color="auto" w:fill="F4F1EC"/>
          </w:tcPr>
          <w:p>
            <w:pPr>
              <w:spacing w:after="60" w:before="60"/>
            </w:pPr>
            <w:r>
              <w:rPr>
                <w:rFonts w:ascii="Liberation Sans" w:hAnsi="Liberation Sans" w:eastAsia="Liberation Sans" w:cs="Liberation Sans"/>
                <w:b w:val="0"/>
                <w:color w:val="1C1C1E"/>
                <w:sz w:val="21"/>
              </w:rPr>
              <w:t>Tổng tài sản (31/03/2026)</w:t>
            </w:r>
          </w:p>
        </w:tc>
        <w:tc>
          <w:tcPr>
            <w:tcW w:type="dxa" w:w="2721"/>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khoảng 1,61 triệu tỷ đồng</w:t>
            </w:r>
          </w:p>
        </w:tc>
        <w:tc>
          <w:tcPr>
            <w:tcW w:type="dxa" w:w="2381"/>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w:t>
            </w:r>
          </w:p>
        </w:tc>
      </w:tr>
      <w:tr>
        <w:tc>
          <w:tcPr>
            <w:tcW w:type="dxa" w:w="4309"/>
            <w:tcBorders>
              <w:top w:val="nil"/>
              <w:left w:val="nil"/>
              <w:bottom w:val="single" w:sz="4" w:color="D9D5CE"/>
              <w:right w:val="nil"/>
            </w:tcBorders>
            <w:shd w:val="clear" w:color="auto" w:fill="FFFFFF"/>
          </w:tcPr>
          <w:p>
            <w:pPr>
              <w:spacing w:after="60" w:before="60"/>
            </w:pPr>
            <w:r>
              <w:rPr>
                <w:rFonts w:ascii="Liberation Sans" w:hAnsi="Liberation Sans" w:eastAsia="Liberation Sans" w:cs="Liberation Sans"/>
                <w:b w:val="0"/>
                <w:color w:val="1C1C1E"/>
                <w:sz w:val="21"/>
              </w:rPr>
              <w:t>Dư nợ tín dụng (31/03/2026)</w:t>
            </w:r>
          </w:p>
        </w:tc>
        <w:tc>
          <w:tcPr>
            <w:tcW w:type="dxa" w:w="2721"/>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khoảng 1,12 triệu tỷ đồng</w:t>
            </w:r>
          </w:p>
        </w:tc>
        <w:tc>
          <w:tcPr>
            <w:tcW w:type="dxa" w:w="2381"/>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+3,4% so với đầu năm</w:t>
            </w:r>
          </w:p>
        </w:tc>
      </w:tr>
      <w:tr>
        <w:tc>
          <w:tcPr>
            <w:tcW w:type="dxa" w:w="4309"/>
            <w:tcBorders>
              <w:top w:val="nil"/>
              <w:left w:val="nil"/>
              <w:bottom w:val="single" w:sz="4" w:color="D9D5CE"/>
              <w:right w:val="nil"/>
            </w:tcBorders>
            <w:shd w:val="clear" w:color="auto" w:fill="F4F1EC"/>
          </w:tcPr>
          <w:p>
            <w:pPr>
              <w:spacing w:after="60" w:before="60"/>
            </w:pPr>
            <w:r>
              <w:rPr>
                <w:rFonts w:ascii="Liberation Sans" w:hAnsi="Liberation Sans" w:eastAsia="Liberation Sans" w:cs="Liberation Sans"/>
                <w:b w:val="0"/>
                <w:color w:val="1C1C1E"/>
                <w:sz w:val="21"/>
              </w:rPr>
              <w:t>Vốn chủ sở hữu (31/03/2026)</w:t>
            </w:r>
          </w:p>
        </w:tc>
        <w:tc>
          <w:tcPr>
            <w:tcW w:type="dxa" w:w="2721"/>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149.745 tỷ đồng</w:t>
            </w:r>
          </w:p>
        </w:tc>
        <w:tc>
          <w:tcPr>
            <w:tcW w:type="dxa" w:w="2381"/>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w:t>
            </w:r>
          </w:p>
        </w:tc>
      </w:tr>
      <w:tr>
        <w:tc>
          <w:tcPr>
            <w:tcW w:type="dxa" w:w="4309"/>
            <w:tcBorders>
              <w:top w:val="nil"/>
              <w:left w:val="nil"/>
              <w:bottom w:val="single" w:sz="4" w:color="D9D5CE"/>
              <w:right w:val="nil"/>
            </w:tcBorders>
            <w:shd w:val="clear" w:color="auto" w:fill="FFFFFF"/>
          </w:tcPr>
          <w:p>
            <w:pPr>
              <w:spacing w:after="60" w:before="60"/>
            </w:pPr>
            <w:r>
              <w:rPr>
                <w:rFonts w:ascii="Liberation Sans" w:hAnsi="Liberation Sans" w:eastAsia="Liberation Sans" w:cs="Liberation Sans"/>
                <w:b w:val="0"/>
                <w:color w:val="1C1C1E"/>
                <w:sz w:val="21"/>
              </w:rPr>
              <w:t>Tỷ lệ nợ xấu</w:t>
            </w:r>
          </w:p>
        </w:tc>
        <w:tc>
          <w:tcPr>
            <w:tcW w:type="dxa" w:w="2721"/>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dưới 1,5%</w:t>
            </w:r>
          </w:p>
        </w:tc>
        <w:tc>
          <w:tcPr>
            <w:tcW w:type="dxa" w:w="2381"/>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w:t>
            </w:r>
          </w:p>
        </w:tc>
      </w:tr>
    </w:tbl>
    <w:p/>
    <w:p>
      <w:pPr>
        <w:pStyle w:val="Caption"/>
      </w:pPr>
      <w:r>
        <w:rPr>
          <w:rFonts w:ascii="Liberation Sans" w:hAnsi="Liberation Sans" w:eastAsia="Liberation Sans" w:cs="Liberation Sans"/>
          <w:b w:val="0"/>
          <w:i/>
          <w:color w:val="6B6B70"/>
          <w:sz w:val="18"/>
        </w:rPr>
        <w:t>Bảng 1. Nguồn: các bài báo công bố kết quả MB quý I/2026 (xem Mục 5). Làm tròn theo nguồn.</w:t>
      </w:r>
    </w:p>
    <w:p>
      <w:pPr>
        <w:pStyle w:val="Heading1"/>
      </w:pPr>
      <w:r>
        <w:t>4. Chỉ tiêu tài chính của MBV (cần điền số liệu)</w:t>
      </w:r>
    </w:p>
    <w:p>
      <w:r>
        <w:rPr>
          <w:rFonts w:ascii="Liberation Sans" w:hAnsi="Liberation Sans" w:eastAsia="Liberation Sans" w:cs="Liberation Sans"/>
          <w:b w:val="0"/>
          <w:i w:val="0"/>
        </w:rPr>
        <w:t>Điền từ báo cáo tài chính quý I/2026 của MBV. Ô "[điền]" là chưa có số liệu.</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3742"/>
            <w:tcBorders>
              <w:top w:val="nil"/>
              <w:left w:val="nil"/>
              <w:bottom w:val="single" w:sz="4" w:color="D9D5CE"/>
              <w:right w:val="nil"/>
            </w:tcBorders>
            <w:shd w:val="clear" w:color="auto" w:fill="B61D22"/>
          </w:tcPr>
          <w:p>
            <w:pPr>
              <w:spacing w:after="60" w:before="60"/>
            </w:pPr>
            <w:r>
              <w:rPr>
                <w:rFonts w:ascii="Liberation Sans" w:hAnsi="Liberation Sans" w:eastAsia="Liberation Sans" w:cs="Liberation Sans"/>
                <w:b/>
                <w:color w:val="FFFFFF"/>
                <w:sz w:val="21"/>
              </w:rPr>
              <w:t>Chỉ tiêu (MBV)</w:t>
            </w:r>
          </w:p>
        </w:tc>
        <w:tc>
          <w:tcPr>
            <w:tcW w:type="dxa" w:w="1928"/>
            <w:tcBorders>
              <w:top w:val="nil"/>
              <w:left w:val="nil"/>
              <w:bottom w:val="single" w:sz="4" w:color="D9D5CE"/>
              <w:right w:val="nil"/>
            </w:tcBorders>
            <w:shd w:val="clear" w:color="auto" w:fill="B61D22"/>
          </w:tcPr>
          <w:p>
            <w:pPr>
              <w:spacing w:after="60" w:before="60"/>
              <w:jc w:val="right"/>
            </w:pPr>
            <w:r>
              <w:rPr>
                <w:rFonts w:ascii="Liberation Sans" w:hAnsi="Liberation Sans" w:eastAsia="Liberation Sans" w:cs="Liberation Sans"/>
                <w:b/>
                <w:color w:val="FFFFFF"/>
                <w:sz w:val="21"/>
              </w:rPr>
              <w:t>Quý I/2026</w:t>
            </w:r>
          </w:p>
        </w:tc>
        <w:tc>
          <w:tcPr>
            <w:tcW w:type="dxa" w:w="1928"/>
            <w:tcBorders>
              <w:top w:val="nil"/>
              <w:left w:val="nil"/>
              <w:bottom w:val="single" w:sz="4" w:color="D9D5CE"/>
              <w:right w:val="nil"/>
            </w:tcBorders>
            <w:shd w:val="clear" w:color="auto" w:fill="B61D22"/>
          </w:tcPr>
          <w:p>
            <w:pPr>
              <w:spacing w:after="60" w:before="60"/>
              <w:jc w:val="right"/>
            </w:pPr>
            <w:r>
              <w:rPr>
                <w:rFonts w:ascii="Liberation Sans" w:hAnsi="Liberation Sans" w:eastAsia="Liberation Sans" w:cs="Liberation Sans"/>
                <w:b/>
                <w:color w:val="FFFFFF"/>
                <w:sz w:val="21"/>
              </w:rPr>
              <w:t>Quý I/2025</w:t>
            </w:r>
          </w:p>
        </w:tc>
        <w:tc>
          <w:tcPr>
            <w:tcW w:type="dxa" w:w="1814"/>
            <w:tcBorders>
              <w:top w:val="nil"/>
              <w:left w:val="nil"/>
              <w:bottom w:val="single" w:sz="4" w:color="D9D5CE"/>
              <w:right w:val="nil"/>
            </w:tcBorders>
            <w:shd w:val="clear" w:color="auto" w:fill="B61D22"/>
          </w:tcPr>
          <w:p>
            <w:pPr>
              <w:spacing w:after="60" w:before="60"/>
              <w:jc w:val="right"/>
            </w:pPr>
            <w:r>
              <w:rPr>
                <w:rFonts w:ascii="Liberation Sans" w:hAnsi="Liberation Sans" w:eastAsia="Liberation Sans" w:cs="Liberation Sans"/>
                <w:b/>
                <w:color w:val="FFFFFF"/>
                <w:sz w:val="21"/>
              </w:rPr>
              <w:t>Thay đổi</w:t>
            </w:r>
          </w:p>
        </w:tc>
      </w:tr>
      <w:tr>
        <w:tc>
          <w:tcPr>
            <w:tcW w:type="dxa" w:w="3742"/>
            <w:tcBorders>
              <w:top w:val="nil"/>
              <w:left w:val="nil"/>
              <w:bottom w:val="single" w:sz="4" w:color="D9D5CE"/>
              <w:right w:val="nil"/>
            </w:tcBorders>
            <w:shd w:val="clear" w:color="auto" w:fill="FFFFFF"/>
          </w:tcPr>
          <w:p>
            <w:pPr>
              <w:spacing w:after="60" w:before="60"/>
            </w:pPr>
            <w:r>
              <w:rPr>
                <w:rFonts w:ascii="Liberation Sans" w:hAnsi="Liberation Sans" w:eastAsia="Liberation Sans" w:cs="Liberation Sans"/>
                <w:b w:val="0"/>
                <w:color w:val="1C1C1E"/>
                <w:sz w:val="21"/>
              </w:rPr>
              <w:t>Tổng tài sản</w:t>
            </w:r>
          </w:p>
        </w:tc>
        <w:tc>
          <w:tcPr>
            <w:tcW w:type="dxa" w:w="1928"/>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c>
          <w:tcPr>
            <w:tcW w:type="dxa" w:w="1928"/>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c>
          <w:tcPr>
            <w:tcW w:type="dxa" w:w="1814"/>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r>
      <w:tr>
        <w:tc>
          <w:tcPr>
            <w:tcW w:type="dxa" w:w="3742"/>
            <w:tcBorders>
              <w:top w:val="nil"/>
              <w:left w:val="nil"/>
              <w:bottom w:val="single" w:sz="4" w:color="D9D5CE"/>
              <w:right w:val="nil"/>
            </w:tcBorders>
            <w:shd w:val="clear" w:color="auto" w:fill="F4F1EC"/>
          </w:tcPr>
          <w:p>
            <w:pPr>
              <w:spacing w:after="60" w:before="60"/>
            </w:pPr>
            <w:r>
              <w:rPr>
                <w:rFonts w:ascii="Liberation Sans" w:hAnsi="Liberation Sans" w:eastAsia="Liberation Sans" w:cs="Liberation Sans"/>
                <w:b w:val="0"/>
                <w:color w:val="1C1C1E"/>
                <w:sz w:val="21"/>
              </w:rPr>
              <w:t>Dư nợ tín dụng</w:t>
            </w:r>
          </w:p>
        </w:tc>
        <w:tc>
          <w:tcPr>
            <w:tcW w:type="dxa" w:w="1928"/>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c>
          <w:tcPr>
            <w:tcW w:type="dxa" w:w="1928"/>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c>
          <w:tcPr>
            <w:tcW w:type="dxa" w:w="1814"/>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r>
      <w:tr>
        <w:tc>
          <w:tcPr>
            <w:tcW w:type="dxa" w:w="3742"/>
            <w:tcBorders>
              <w:top w:val="nil"/>
              <w:left w:val="nil"/>
              <w:bottom w:val="single" w:sz="4" w:color="D9D5CE"/>
              <w:right w:val="nil"/>
            </w:tcBorders>
            <w:shd w:val="clear" w:color="auto" w:fill="FFFFFF"/>
          </w:tcPr>
          <w:p>
            <w:pPr>
              <w:spacing w:after="60" w:before="60"/>
            </w:pPr>
            <w:r>
              <w:rPr>
                <w:rFonts w:ascii="Liberation Sans" w:hAnsi="Liberation Sans" w:eastAsia="Liberation Sans" w:cs="Liberation Sans"/>
                <w:b w:val="0"/>
                <w:color w:val="1C1C1E"/>
                <w:sz w:val="21"/>
              </w:rPr>
              <w:t>Huy động khách hàng</w:t>
            </w:r>
          </w:p>
        </w:tc>
        <w:tc>
          <w:tcPr>
            <w:tcW w:type="dxa" w:w="1928"/>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c>
          <w:tcPr>
            <w:tcW w:type="dxa" w:w="1928"/>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c>
          <w:tcPr>
            <w:tcW w:type="dxa" w:w="1814"/>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r>
      <w:tr>
        <w:tc>
          <w:tcPr>
            <w:tcW w:type="dxa" w:w="3742"/>
            <w:tcBorders>
              <w:top w:val="nil"/>
              <w:left w:val="nil"/>
              <w:bottom w:val="single" w:sz="4" w:color="D9D5CE"/>
              <w:right w:val="nil"/>
            </w:tcBorders>
            <w:shd w:val="clear" w:color="auto" w:fill="F4F1EC"/>
          </w:tcPr>
          <w:p>
            <w:pPr>
              <w:spacing w:after="60" w:before="60"/>
            </w:pPr>
            <w:r>
              <w:rPr>
                <w:rFonts w:ascii="Liberation Sans" w:hAnsi="Liberation Sans" w:eastAsia="Liberation Sans" w:cs="Liberation Sans"/>
                <w:b w:val="0"/>
                <w:color w:val="1C1C1E"/>
                <w:sz w:val="21"/>
              </w:rPr>
              <w:t>Thu nhập lãi thuần</w:t>
            </w:r>
          </w:p>
        </w:tc>
        <w:tc>
          <w:tcPr>
            <w:tcW w:type="dxa" w:w="1928"/>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c>
          <w:tcPr>
            <w:tcW w:type="dxa" w:w="1928"/>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c>
          <w:tcPr>
            <w:tcW w:type="dxa" w:w="1814"/>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r>
      <w:tr>
        <w:tc>
          <w:tcPr>
            <w:tcW w:type="dxa" w:w="3742"/>
            <w:tcBorders>
              <w:top w:val="nil"/>
              <w:left w:val="nil"/>
              <w:bottom w:val="single" w:sz="4" w:color="D9D5CE"/>
              <w:right w:val="nil"/>
            </w:tcBorders>
            <w:shd w:val="clear" w:color="auto" w:fill="FFFFFF"/>
          </w:tcPr>
          <w:p>
            <w:pPr>
              <w:spacing w:after="60" w:before="60"/>
            </w:pPr>
            <w:r>
              <w:rPr>
                <w:rFonts w:ascii="Liberation Sans" w:hAnsi="Liberation Sans" w:eastAsia="Liberation Sans" w:cs="Liberation Sans"/>
                <w:b w:val="0"/>
                <w:color w:val="1C1C1E"/>
                <w:sz w:val="21"/>
              </w:rPr>
              <w:t>Thu nhập từ hoạt động dịch vụ</w:t>
            </w:r>
          </w:p>
        </w:tc>
        <w:tc>
          <w:tcPr>
            <w:tcW w:type="dxa" w:w="1928"/>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c>
          <w:tcPr>
            <w:tcW w:type="dxa" w:w="1928"/>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c>
          <w:tcPr>
            <w:tcW w:type="dxa" w:w="1814"/>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r>
      <w:tr>
        <w:tc>
          <w:tcPr>
            <w:tcW w:type="dxa" w:w="3742"/>
            <w:tcBorders>
              <w:top w:val="nil"/>
              <w:left w:val="nil"/>
              <w:bottom w:val="single" w:sz="4" w:color="D9D5CE"/>
              <w:right w:val="nil"/>
            </w:tcBorders>
            <w:shd w:val="clear" w:color="auto" w:fill="F4F1EC"/>
          </w:tcPr>
          <w:p>
            <w:pPr>
              <w:spacing w:after="60" w:before="60"/>
            </w:pPr>
            <w:r>
              <w:rPr>
                <w:rFonts w:ascii="Liberation Sans" w:hAnsi="Liberation Sans" w:eastAsia="Liberation Sans" w:cs="Liberation Sans"/>
                <w:b w:val="0"/>
                <w:color w:val="1C1C1E"/>
                <w:sz w:val="21"/>
              </w:rPr>
              <w:t>Tổng thu nhập hoạt động</w:t>
            </w:r>
          </w:p>
        </w:tc>
        <w:tc>
          <w:tcPr>
            <w:tcW w:type="dxa" w:w="1928"/>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c>
          <w:tcPr>
            <w:tcW w:type="dxa" w:w="1928"/>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c>
          <w:tcPr>
            <w:tcW w:type="dxa" w:w="1814"/>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r>
      <w:tr>
        <w:tc>
          <w:tcPr>
            <w:tcW w:type="dxa" w:w="3742"/>
            <w:tcBorders>
              <w:top w:val="nil"/>
              <w:left w:val="nil"/>
              <w:bottom w:val="single" w:sz="4" w:color="D9D5CE"/>
              <w:right w:val="nil"/>
            </w:tcBorders>
            <w:shd w:val="clear" w:color="auto" w:fill="FFFFFF"/>
          </w:tcPr>
          <w:p>
            <w:pPr>
              <w:spacing w:after="60" w:before="60"/>
            </w:pPr>
            <w:r>
              <w:rPr>
                <w:rFonts w:ascii="Liberation Sans" w:hAnsi="Liberation Sans" w:eastAsia="Liberation Sans" w:cs="Liberation Sans"/>
                <w:b w:val="0"/>
                <w:color w:val="1C1C1E"/>
                <w:sz w:val="21"/>
              </w:rPr>
              <w:t>Chi phí hoạt động</w:t>
            </w:r>
          </w:p>
        </w:tc>
        <w:tc>
          <w:tcPr>
            <w:tcW w:type="dxa" w:w="1928"/>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c>
          <w:tcPr>
            <w:tcW w:type="dxa" w:w="1928"/>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c>
          <w:tcPr>
            <w:tcW w:type="dxa" w:w="1814"/>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r>
      <w:tr>
        <w:tc>
          <w:tcPr>
            <w:tcW w:type="dxa" w:w="3742"/>
            <w:tcBorders>
              <w:top w:val="nil"/>
              <w:left w:val="nil"/>
              <w:bottom w:val="single" w:sz="4" w:color="D9D5CE"/>
              <w:right w:val="nil"/>
            </w:tcBorders>
            <w:shd w:val="clear" w:color="auto" w:fill="F4F1EC"/>
          </w:tcPr>
          <w:p>
            <w:pPr>
              <w:spacing w:after="60" w:before="60"/>
            </w:pPr>
            <w:r>
              <w:rPr>
                <w:rFonts w:ascii="Liberation Sans" w:hAnsi="Liberation Sans" w:eastAsia="Liberation Sans" w:cs="Liberation Sans"/>
                <w:b w:val="0"/>
                <w:color w:val="1C1C1E"/>
                <w:sz w:val="21"/>
              </w:rPr>
              <w:t>Chi phí dự phòng rủi ro tín dụng</w:t>
            </w:r>
          </w:p>
        </w:tc>
        <w:tc>
          <w:tcPr>
            <w:tcW w:type="dxa" w:w="1928"/>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c>
          <w:tcPr>
            <w:tcW w:type="dxa" w:w="1928"/>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c>
          <w:tcPr>
            <w:tcW w:type="dxa" w:w="1814"/>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r>
      <w:tr>
        <w:tc>
          <w:tcPr>
            <w:tcW w:type="dxa" w:w="3742"/>
            <w:tcBorders>
              <w:top w:val="nil"/>
              <w:left w:val="nil"/>
              <w:bottom w:val="single" w:sz="4" w:color="D9D5CE"/>
              <w:right w:val="nil"/>
            </w:tcBorders>
            <w:shd w:val="clear" w:color="auto" w:fill="FFFFFF"/>
          </w:tcPr>
          <w:p>
            <w:pPr>
              <w:spacing w:after="60" w:before="60"/>
            </w:pPr>
            <w:r>
              <w:rPr>
                <w:rFonts w:ascii="Liberation Sans" w:hAnsi="Liberation Sans" w:eastAsia="Liberation Sans" w:cs="Liberation Sans"/>
                <w:b w:val="0"/>
                <w:color w:val="1C1C1E"/>
                <w:sz w:val="21"/>
              </w:rPr>
              <w:t>Lợi nhuận trước thuế</w:t>
            </w:r>
          </w:p>
        </w:tc>
        <w:tc>
          <w:tcPr>
            <w:tcW w:type="dxa" w:w="1928"/>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c>
          <w:tcPr>
            <w:tcW w:type="dxa" w:w="1928"/>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c>
          <w:tcPr>
            <w:tcW w:type="dxa" w:w="1814"/>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r>
      <w:tr>
        <w:tc>
          <w:tcPr>
            <w:tcW w:type="dxa" w:w="3742"/>
            <w:tcBorders>
              <w:top w:val="nil"/>
              <w:left w:val="nil"/>
              <w:bottom w:val="single" w:sz="4" w:color="D9D5CE"/>
              <w:right w:val="nil"/>
            </w:tcBorders>
            <w:shd w:val="clear" w:color="auto" w:fill="F4F1EC"/>
          </w:tcPr>
          <w:p>
            <w:pPr>
              <w:spacing w:after="60" w:before="60"/>
            </w:pPr>
            <w:r>
              <w:rPr>
                <w:rFonts w:ascii="Liberation Sans" w:hAnsi="Liberation Sans" w:eastAsia="Liberation Sans" w:cs="Liberation Sans"/>
                <w:b w:val="0"/>
                <w:color w:val="1C1C1E"/>
                <w:sz w:val="21"/>
              </w:rPr>
              <w:t>Lợi nhuận sau thuế</w:t>
            </w:r>
          </w:p>
        </w:tc>
        <w:tc>
          <w:tcPr>
            <w:tcW w:type="dxa" w:w="1928"/>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c>
          <w:tcPr>
            <w:tcW w:type="dxa" w:w="1928"/>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c>
          <w:tcPr>
            <w:tcW w:type="dxa" w:w="1814"/>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r>
      <w:tr>
        <w:tc>
          <w:tcPr>
            <w:tcW w:type="dxa" w:w="3742"/>
            <w:tcBorders>
              <w:top w:val="nil"/>
              <w:left w:val="nil"/>
              <w:bottom w:val="single" w:sz="4" w:color="D9D5CE"/>
              <w:right w:val="nil"/>
            </w:tcBorders>
            <w:shd w:val="clear" w:color="auto" w:fill="FFFFFF"/>
          </w:tcPr>
          <w:p>
            <w:pPr>
              <w:spacing w:after="60" w:before="60"/>
            </w:pPr>
            <w:r>
              <w:rPr>
                <w:rFonts w:ascii="Liberation Sans" w:hAnsi="Liberation Sans" w:eastAsia="Liberation Sans" w:cs="Liberation Sans"/>
                <w:b w:val="0"/>
                <w:color w:val="1C1C1E"/>
                <w:sz w:val="21"/>
              </w:rPr>
              <w:t>Tỷ lệ nợ xấu (NPL)</w:t>
            </w:r>
          </w:p>
        </w:tc>
        <w:tc>
          <w:tcPr>
            <w:tcW w:type="dxa" w:w="1928"/>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c>
          <w:tcPr>
            <w:tcW w:type="dxa" w:w="1928"/>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c>
          <w:tcPr>
            <w:tcW w:type="dxa" w:w="1814"/>
            <w:tcBorders>
              <w:top w:val="nil"/>
              <w:left w:val="nil"/>
              <w:bottom w:val="single" w:sz="4" w:color="D9D5CE"/>
              <w:right w:val="nil"/>
            </w:tcBorders>
            <w:shd w:val="clear" w:color="auto" w:fill="FFFFFF"/>
          </w:tcPr>
          <w:p>
            <w:pPr>
              <w:spacing w:after="60" w:before="60"/>
              <w:jc w:val="right"/>
            </w:pPr>
            <w:r>
              <w:rPr>
                <w:rFonts w:ascii="Liberation Sans" w:hAnsi="Liberation Sans" w:eastAsia="Liberation Sans" w:cs="Liberation Sans"/>
                <w:b w:val="0"/>
                <w:color w:val="1C1C1E"/>
                <w:sz w:val="21"/>
              </w:rPr>
              <w:t>[điền]</w:t>
            </w:r>
          </w:p>
        </w:tc>
      </w:tr>
      <w:tr>
        <w:tc>
          <w:tcPr>
            <w:tcW w:type="dxa" w:w="3742"/>
            <w:tcBorders>
              <w:top w:val="nil"/>
              <w:left w:val="nil"/>
              <w:bottom w:val="single" w:sz="4" w:color="D9D5CE"/>
              <w:right w:val="nil"/>
            </w:tcBorders>
            <w:shd w:val="clear" w:color="auto" w:fill="F4F1EC"/>
          </w:tcPr>
          <w:p>
            <w:pPr>
              <w:spacing w:after="60" w:before="60"/>
            </w:pPr>
            <w:r>
              <w:rPr>
                <w:rFonts w:ascii="Liberation Sans" w:hAnsi="Liberation Sans" w:eastAsia="Liberation Sans" w:cs="Liberation Sans"/>
                <w:b w:val="0"/>
                <w:color w:val="1C1C1E"/>
                <w:sz w:val="21"/>
              </w:rPr>
              <w:t>Tỷ lệ chi phí/thu nhập (CIR)</w:t>
            </w:r>
          </w:p>
        </w:tc>
        <w:tc>
          <w:tcPr>
            <w:tcW w:type="dxa" w:w="1928"/>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c>
          <w:tcPr>
            <w:tcW w:type="dxa" w:w="1928"/>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c>
          <w:tcPr>
            <w:tcW w:type="dxa" w:w="1814"/>
            <w:tcBorders>
              <w:top w:val="nil"/>
              <w:left w:val="nil"/>
              <w:bottom w:val="single" w:sz="4" w:color="D9D5CE"/>
              <w:right w:val="nil"/>
            </w:tcBorders>
            <w:shd w:val="clear" w:color="auto" w:fill="F4F1EC"/>
          </w:tcPr>
          <w:p>
            <w:pPr>
              <w:spacing w:after="60" w:before="60"/>
              <w:jc w:val="right"/>
            </w:pPr>
            <w:r>
              <w:rPr>
                <w:rFonts w:ascii="Liberation Sans" w:hAnsi="Liberation Sans" w:eastAsia="Liberation Sans" w:cs="Liberation Sans"/>
                <w:b w:val="0"/>
                <w:color w:val="1C1C1E"/>
                <w:sz w:val="21"/>
              </w:rPr>
              <w:t>[điền]</w:t>
            </w:r>
          </w:p>
        </w:tc>
      </w:tr>
    </w:tbl>
    <w:p/>
    <w:p>
      <w:pPr>
        <w:pStyle w:val="Caption"/>
      </w:pPr>
      <w:r>
        <w:rPr>
          <w:rFonts w:ascii="Liberation Sans" w:hAnsi="Liberation Sans" w:eastAsia="Liberation Sans" w:cs="Liberation Sans"/>
          <w:b w:val="0"/>
          <w:i/>
          <w:color w:val="6B6B70"/>
          <w:sz w:val="18"/>
        </w:rPr>
        <w:t>Bảng 2. Nguồn: báo cáo tài chính của MBV (chưa có).</w:t>
      </w:r>
    </w:p>
    <w:p>
      <w:pPr>
        <w:pStyle w:val="Heading1"/>
      </w:pPr>
      <w:r>
        <w:t>5. Nguồn tham khảo</w:t>
      </w:r>
    </w:p>
    <w:p>
      <w:pPr>
        <w:pStyle w:val="ListBullet"/>
      </w:pPr>
      <w:r>
        <w:rPr>
          <w:rFonts w:ascii="Liberation Sans" w:hAnsi="Liberation Sans" w:eastAsia="Liberation Sans" w:cs="Liberation Sans"/>
        </w:rPr>
        <w:t>MB Bank báo lãi 9.628 tỷ đồng trong quý I/2026 — dnse.com.vn / markettimes.vn</w:t>
      </w:r>
    </w:p>
    <w:p>
      <w:pPr>
        <w:pStyle w:val="ListBullet"/>
      </w:pPr>
      <w:r>
        <w:rPr>
          <w:rFonts w:ascii="Liberation Sans" w:hAnsi="Liberation Sans" w:eastAsia="Liberation Sans" w:cs="Liberation Sans"/>
        </w:rPr>
        <w:t>MB báo lãi hơn 9.600 tỷ đồng quý I/2026, thu nhập lãi thuần lập đỉnh — thoibaotaichinhvietnam.vn</w:t>
      </w:r>
    </w:p>
    <w:p>
      <w:pPr>
        <w:pStyle w:val="ListBullet"/>
      </w:pPr>
      <w:r>
        <w:rPr>
          <w:rFonts w:ascii="Liberation Sans" w:hAnsi="Liberation Sans" w:eastAsia="Liberation Sans" w:cs="Liberation Sans"/>
        </w:rPr>
        <w:t>MB lãi trước thuế quý 1 tăng 15% — vietstock.vn</w:t>
      </w:r>
    </w:p>
    <w:p>
      <w:pPr>
        <w:pStyle w:val="ListBullet"/>
      </w:pPr>
      <w:r>
        <w:rPr>
          <w:rFonts w:ascii="Liberation Sans" w:hAnsi="Liberation Sans" w:eastAsia="Liberation Sans" w:cs="Liberation Sans"/>
        </w:rPr>
        <w:t>Sau đổi tên, MBV ra mắt bộ nhận diện thương hiệu mới — vietnambiz.vn</w:t>
      </w:r>
    </w:p>
    <w:sectPr w:rsidR="00FC693F" w:rsidRPr="0006063C" w:rsidSect="00034616">
      <w:headerReference w:type="default" r:id="rId9"/>
      <w:footerReference w:type="default" r:id="rId10"/>
      <w:pgSz w:w="11906" w:h="16838"/>
      <w:pgMar w:top="1361" w:right="1247" w:bottom="1247"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rFonts w:ascii="Liberation Sans" w:hAnsi="Liberation Sans" w:eastAsia="Liberation Sans" w:cs="Liberation Sans"/>
        <w:b w:val="0"/>
        <w:color w:val="6B6B70"/>
        <w:sz w:val="18"/>
      </w:rPr>
      <w:t>MBV · Ngân hàng TNHH MTV Việt Nam Hiện Đại</w:t>
      <w:tab/>
      <w:t xml:space="preserve">Trang </w:t>
    </w:r>
    <w:r>
      <w:rPr>
        <w:rFonts w:ascii="Liberation Sans" w:hAnsi="Liberation Sans" w:eastAsia="Liberation Sans" w:cs="Liberation Sans"/>
        <w:color w:val="6B6B70"/>
        <w:sz w:val="18"/>
      </w:rPr>
      <w:fldChar w:fldCharType="begin"/>
    </w:r>
    <w:r>
      <w:rPr>
        <w:rFonts w:ascii="Liberation Sans" w:hAnsi="Liberation Sans" w:eastAsia="Liberation Sans" w:cs="Liberation Sans"/>
        <w:color w:val="6B6B70"/>
        <w:sz w:val="18"/>
      </w:rPr>
      <w:instrText xml:space="preserve">PAGE</w:instrText>
    </w:r>
    <w:r>
      <w:rPr>
        <w:rFonts w:ascii="Liberation Sans" w:hAnsi="Liberation Sans" w:eastAsia="Liberation Sans" w:cs="Liberation Sans"/>
        <w:color w:val="6B6B7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6" w:color="B61D22"/>
      </w:pBdr>
    </w:pPr>
    <w:r/>
    <w:r>
      <w:drawing>
        <wp:inline xmlns:a="http://schemas.openxmlformats.org/drawingml/2006/main" xmlns:pic="http://schemas.openxmlformats.org/drawingml/2006/picture">
          <wp:extent cx="936000" cy="377062"/>
          <wp:docPr id="1" name="Picture 1"/>
          <wp:cNvGraphicFramePr>
            <a:graphicFrameLocks noChangeAspect="1"/>
          </wp:cNvGraphicFramePr>
          <a:graphic>
            <a:graphicData uri="http://schemas.openxmlformats.org/drawingml/2006/picture">
              <pic:pic>
                <pic:nvPicPr>
                  <pic:cNvPr id="0" name="logo_color.png"/>
                  <pic:cNvPicPr/>
                </pic:nvPicPr>
                <pic:blipFill>
                  <a:blip r:embed="rId1"/>
                  <a:stretch>
                    <a:fillRect/>
                  </a:stretch>
                </pic:blipFill>
                <pic:spPr>
                  <a:xfrm>
                    <a:off x="0" y="0"/>
                    <a:ext cx="936000" cy="3770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Liberation Sans" w:hAnsi="Liberation Sans" w:eastAsia="Liberation Sans" w:cs="Liberation Sans"/>
      <w:b w:val="0"/>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Liberation Sans" w:hAnsi="Liberation Sans" w:eastAsia="Liberation Sans" w:cs="Liberation Sans"/>
      <w:b/>
      <w:bCs/>
      <w:color w:val="B61D22"/>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Liberation Sans" w:hAnsi="Liberation Sans" w:eastAsia="Liberation Sans" w:cs="Liberation Sans"/>
      <w:b/>
      <w:bCs/>
      <w:color w:val="1C1C1E"/>
      <w:sz w:val="28"/>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Liberation Sans" w:hAnsi="Liberation Sans" w:eastAsia="Liberation Sans" w:cs="Liberation Sans"/>
      <w:b/>
      <w:bCs/>
      <w:color w:val="6B6B7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Liberation Sans" w:hAnsi="Liberation Sans" w:eastAsia="Liberation Sans" w:cs="Liberation Sans"/>
      <w:b/>
      <w:color w:val="B61D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b w:val="0"/>
      <w:color w:val="1C1C1E"/>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val="0"/>
      <w:bCs/>
      <w:color w:val="6B6B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