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61A8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Phần 1. Phân tích các lỗi cú pháp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9E9E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Lỗi phân cấp tiêu đề (Heading hierarchy):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Nhảy cóc từ H1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xuống H3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###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làm cấu trúc tài liệu bị đứt gãy, gây khó khăn cho trình duyệt và người đọc.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BDE2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Lỗi cú pháp hình ảnh: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Viết sai khoảng trắng giữa nhãn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[Logo Dự án]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và đường dẫn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(https://...)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Cú pháp đúng phải liền nhau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[Ảnh](link)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), nếu tách rời như vậy Markdown sẽ hiểu nhầm là hai khối văn bản độc lập.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271B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Lỗi in đậm: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Dùng 1 dấu sao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*Rất quan trọng*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chỉ tạo chữ nghiêng (Emphasis), không phải chữ in đậm. Để in đậm bắt buộc phải dùng 2 dấu sao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A309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Phần 2. Hoàn thiện đoạn mã Markdown chuẩn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E92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Markdown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F08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 Lợi ích của rau sạch  ![Logo Dự án](https://greentech.vn/logo.png)  ## Danh sách các loại rau**Rất quan trọng**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BC6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2026-10-16T07:28:04Z</dcterms:modified>
</cp:coreProperties>
</file>