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1D7D4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Phần 1. Phân tích bài toán: Cơ chế Token và tốc độ xử lý của AI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AB16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Bản chất Token: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Mô hình AI xử lý văn bản thông qua các đơn vị mã hóa gọi là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Token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0830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Sự lãng phí của HTML: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HTML bắt buộc dùng các cặp thẻ dài (như &lt;strong&gt;...&lt;/strong&gt;, &lt;ul&gt;&lt;li&gt;...&lt;/li&gt;&lt;/ul&gt;), làm tăng vọt số lượng token không cần thiết trong ngữ cảnh.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0844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Lợi thế của Markdown: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Markdown dùng ký tự tối giản (như **, -), giúp giảm từ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30% - 50% số lượng token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Ít token hơn giúp AI sinh phản hồi (inference) nhanh hơn đáng kể, giảm độ trễ cho người nông dân và tiết kiệm chi phí API.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3267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Phần 2. So sánh &amp; Đánh giá (Markdown vs. HTML)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5CCAF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Bảng so sánh chi tiết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08"/>
        <w:gridCol w:w="4544"/>
        <w:gridCol w:w="3203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08" w:type="dxa"/>
            <w:vAlign w:val="center"/>
          </w:tcPr>
          <w:p w14:paraId="4FCB16A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Tiêu chí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44" w:type="dxa"/>
            <w:vAlign w:val="center"/>
          </w:tcPr>
          <w:p w14:paraId="1C50EB7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Markdown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3" w:type="dxa"/>
            <w:vAlign w:val="center"/>
          </w:tcPr>
          <w:p w14:paraId="08D67B4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HTML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08" w:type="dxa"/>
            <w:vAlign w:val="center"/>
          </w:tcPr>
          <w:p w14:paraId="3DD2847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Số lượng Token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44" w:type="dxa"/>
            <w:vAlign w:val="center"/>
          </w:tcPr>
          <w:p w14:paraId="2AC45B5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Thấp: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Cực kỳ gọn nhẹ, tiết kiệm token định dạng.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3" w:type="dxa"/>
            <w:vAlign w:val="center"/>
          </w:tcPr>
          <w:p w14:paraId="4E5C2ED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Cao: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Rườm rà với nhiều thẻ đóng/mở.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08" w:type="dxa"/>
            <w:vAlign w:val="center"/>
          </w:tcPr>
          <w:p w14:paraId="737EF63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Tính Human-readable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44" w:type="dxa"/>
            <w:vAlign w:val="center"/>
          </w:tcPr>
          <w:p w14:paraId="19E30FC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Cao: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Trực quan, dễ đọc ngay cả ở dạng văn bản thô (Raw text).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3" w:type="dxa"/>
            <w:vAlign w:val="center"/>
          </w:tcPr>
          <w:p w14:paraId="1EBDE6E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Thấp: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Bị nhiễu bởi các cú pháp thẻ kỹ thuật.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08" w:type="dxa"/>
            <w:vAlign w:val="center"/>
          </w:tcPr>
          <w:p w14:paraId="37E4DAE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Hiệu suất AI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44" w:type="dxa"/>
            <w:vAlign w:val="center"/>
          </w:tcPr>
          <w:p w14:paraId="222DF03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Nhanh: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Giảm tải ngữ cảnh, tối ưu tốc độ phản hồi thời gian thực.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3" w:type="dxa"/>
            <w:vAlign w:val="center"/>
          </w:tcPr>
          <w:p w14:paraId="5441D4D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Chậm hơn: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Tốn tài nguyên xử lý các thẻ phụ.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3CA27DE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Giải pháp tối ưu cho hệ thống "GreenTech"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9B3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Lựa chọn: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Sử dụng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Markdown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làm chuẩn giao tiếp cốt lõi.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09A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Lập luận: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0007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Phục vụ nông dân di động: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Nông dân thường tra cứu thông tin ngoài đồng ruộng qua smartphone với mạng 4G/5G có thể không ổn định; Markdown giúp tải dữ liệu siêu nhanh và hiển thị rõ ràng.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22F8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Tối ưu chi phí &amp; Tốc độ: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Giúp hệ thống phản hồi tức thì các câu hỏi cấp bách (như sâu bệnh trên cây trồng) đồng thời cắt giảm chi phí vận hành API quy mô lớn.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E7C2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2026-10-16T07:34:15Z</dcterms:modified>
</cp:coreProperties>
</file>