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Ingestion and Verification Process</w:t>
      </w:r>
    </w:p>
    <w:p>
      <w:pPr>
        <w:pStyle w:val="Subtitle"/>
      </w:pPr>
      <w:r>
        <w:t>How the three election-data streams were extracted, aligned, persisted, and validated</w:t>
      </w:r>
    </w:p>
    <w:p>
      <w:r>
        <w:rPr>
          <w:b/>
        </w:rPr>
        <w:t xml:space="preserve">Purpose. </w:t>
      </w:r>
      <w:r>
        <w:t>Phase 1 establishes a reliable data lake for the later preprocessing, sentiment, aggregation, and statistical-modeling phases. It ingests Twitter data, a political-event timeline, and official electoral returns while keeping source-specific configuration outside the reusable production modules.</w:t>
      </w:r>
    </w:p>
    <w:p>
      <w:pPr>
        <w:pStyle w:val="Heading1"/>
      </w:pPr>
      <w:r>
        <w:t>1. Architectural Approach</w:t>
      </w:r>
    </w:p>
    <w:p>
      <w:r>
        <w:t>The implementation separates reusable ingestion behavior from dataset-specific execution and verification. This keeps the production code flexible while making the exact Phase 1 run reproducible.</w:t>
      </w:r>
    </w:p>
    <w:tbl>
      <w:tblPr>
        <w:tblStyle w:val="TableGrid"/>
        <w:tblW w:type="dxa" w:w="9360"/>
        <w:jc w:val="left"/>
        <w:tblLayout w:type="fixed"/>
        <w:tblLook w:firstColumn="1" w:firstRow="1" w:lastColumn="0" w:lastRow="0" w:noHBand="0" w:noVBand="1" w:val="04A0"/>
        <w:tblInd w:w="120" w:type="dxa"/>
      </w:tblPr>
      <w:tblGrid>
        <w:gridCol w:w="1600"/>
        <w:gridCol w:w="4600"/>
        <w:gridCol w:w="3160"/>
      </w:tblGrid>
      <w:tr>
        <w:tc>
          <w:tcPr>
            <w:tcW w:type="dxa" w:w="1600"/>
            <w:shd w:fill="E8EEF5"/>
            <w:tcMar>
              <w:top w:w="80" w:type="dxa"/>
              <w:start w:w="120" w:type="dxa"/>
              <w:bottom w:w="80" w:type="dxa"/>
              <w:end w:w="120" w:type="dxa"/>
            </w:tcMar>
            <w:vAlign w:val="center"/>
          </w:tcPr>
          <w:p>
            <w:r>
              <w:rPr>
                <w:b/>
                <w:color w:val="1F4D78"/>
              </w:rPr>
              <w:t>Layer</w:t>
            </w:r>
          </w:p>
        </w:tc>
        <w:tc>
          <w:tcPr>
            <w:tcW w:type="dxa" w:w="4600"/>
            <w:shd w:fill="E8EEF5"/>
            <w:tcMar>
              <w:top w:w="80" w:type="dxa"/>
              <w:start w:w="120" w:type="dxa"/>
              <w:bottom w:w="80" w:type="dxa"/>
              <w:end w:w="120" w:type="dxa"/>
            </w:tcMar>
            <w:vAlign w:val="center"/>
          </w:tcPr>
          <w:p>
            <w:r>
              <w:rPr>
                <w:b/>
                <w:color w:val="1F4D78"/>
              </w:rPr>
              <w:t>Responsibility</w:t>
            </w:r>
          </w:p>
        </w:tc>
        <w:tc>
          <w:tcPr>
            <w:tcW w:type="dxa" w:w="3160"/>
            <w:shd w:fill="E8EEF5"/>
            <w:tcMar>
              <w:top w:w="80" w:type="dxa"/>
              <w:start w:w="120" w:type="dxa"/>
              <w:bottom w:w="80" w:type="dxa"/>
              <w:end w:w="120" w:type="dxa"/>
            </w:tcMar>
            <w:vAlign w:val="center"/>
          </w:tcPr>
          <w:p>
            <w:r>
              <w:rPr>
                <w:b/>
                <w:color w:val="1F4D78"/>
              </w:rPr>
              <w:t>Location</w:t>
            </w:r>
          </w:p>
        </w:tc>
        <w:trPr>
          <w:tblHeader/>
        </w:trPr>
      </w:tr>
      <w:tr>
        <w:tc>
          <w:tcPr>
            <w:tcW w:type="dxa" w:w="1600"/>
            <w:tcMar>
              <w:top w:w="80" w:type="dxa"/>
              <w:start w:w="120" w:type="dxa"/>
              <w:bottom w:w="80" w:type="dxa"/>
              <w:end w:w="120" w:type="dxa"/>
            </w:tcMar>
            <w:vAlign w:val="center"/>
          </w:tcPr>
          <w:p>
            <w:r>
              <w:t>Reader / model</w:t>
            </w:r>
          </w:p>
        </w:tc>
        <w:tc>
          <w:tcPr>
            <w:tcW w:type="dxa" w:w="4600"/>
            <w:tcMar>
              <w:top w:w="80" w:type="dxa"/>
              <w:start w:w="120" w:type="dxa"/>
              <w:bottom w:w="80" w:type="dxa"/>
              <w:end w:w="120" w:type="dxa"/>
            </w:tcMar>
            <w:vAlign w:val="center"/>
          </w:tcPr>
          <w:p>
            <w:r>
              <w:t>Loads CSV or JSON data. Large CSV files can be streamed in Arrow batches.</w:t>
            </w:r>
          </w:p>
        </w:tc>
        <w:tc>
          <w:tcPr>
            <w:tcW w:type="dxa" w:w="3160"/>
            <w:tcMar>
              <w:top w:w="80" w:type="dxa"/>
              <w:start w:w="120" w:type="dxa"/>
              <w:bottom w:w="80" w:type="dxa"/>
              <w:end w:w="120" w:type="dxa"/>
            </w:tcMar>
            <w:vAlign w:val="center"/>
          </w:tcPr>
          <w:p>
            <w:r>
              <w:t>src/phase1_ingestion/stream_readers_model.py</w:t>
            </w:r>
          </w:p>
        </w:tc>
      </w:tr>
      <w:tr>
        <w:tc>
          <w:tcPr>
            <w:tcW w:type="dxa" w:w="1600"/>
            <w:tcMar>
              <w:top w:w="80" w:type="dxa"/>
              <w:start w:w="120" w:type="dxa"/>
              <w:bottom w:w="80" w:type="dxa"/>
              <w:end w:w="120" w:type="dxa"/>
            </w:tcMar>
            <w:vAlign w:val="center"/>
          </w:tcPr>
          <w:p>
            <w:r>
              <w:t>Controller / service</w:t>
            </w:r>
          </w:p>
        </w:tc>
        <w:tc>
          <w:tcPr>
            <w:tcW w:type="dxa" w:w="4600"/>
            <w:tcMar>
              <w:top w:w="80" w:type="dxa"/>
              <w:start w:w="120" w:type="dxa"/>
              <w:bottom w:w="80" w:type="dxa"/>
              <w:end w:w="120" w:type="dxa"/>
            </w:tcMar>
            <w:vAlign w:val="center"/>
          </w:tcPr>
          <w:p>
            <w:r>
              <w:t>Renames fields, adds constants, selects fields, applies optional mappers, and converts timestamps to UTC.</w:t>
            </w:r>
          </w:p>
        </w:tc>
        <w:tc>
          <w:tcPr>
            <w:tcW w:type="dxa" w:w="3160"/>
            <w:tcMar>
              <w:top w:w="80" w:type="dxa"/>
              <w:start w:w="120" w:type="dxa"/>
              <w:bottom w:w="80" w:type="dxa"/>
              <w:end w:w="120" w:type="dxa"/>
            </w:tcMar>
            <w:vAlign w:val="center"/>
          </w:tcPr>
          <w:p>
            <w:r>
              <w:t>src/phase1_ingestion/ingestion_runner_controller.py</w:t>
            </w:r>
          </w:p>
        </w:tc>
      </w:tr>
      <w:tr>
        <w:tc>
          <w:tcPr>
            <w:tcW w:type="dxa" w:w="1600"/>
            <w:tcMar>
              <w:top w:w="80" w:type="dxa"/>
              <w:start w:w="120" w:type="dxa"/>
              <w:bottom w:w="80" w:type="dxa"/>
              <w:end w:w="120" w:type="dxa"/>
            </w:tcMar>
            <w:vAlign w:val="center"/>
          </w:tcPr>
          <w:p>
            <w:r>
              <w:t>Serializer / view</w:t>
            </w:r>
          </w:p>
        </w:tc>
        <w:tc>
          <w:tcPr>
            <w:tcW w:type="dxa" w:w="4600"/>
            <w:tcMar>
              <w:top w:w="80" w:type="dxa"/>
              <w:start w:w="120" w:type="dxa"/>
              <w:bottom w:w="80" w:type="dxa"/>
              <w:end w:w="120" w:type="dxa"/>
            </w:tcMar>
            <w:vAlign w:val="center"/>
          </w:tcPr>
          <w:p>
            <w:r>
              <w:t>Writes DataFrames or streamed batches to Parquet.</w:t>
            </w:r>
          </w:p>
        </w:tc>
        <w:tc>
          <w:tcPr>
            <w:tcW w:type="dxa" w:w="3160"/>
            <w:tcMar>
              <w:top w:w="80" w:type="dxa"/>
              <w:start w:w="120" w:type="dxa"/>
              <w:bottom w:w="80" w:type="dxa"/>
              <w:end w:w="120" w:type="dxa"/>
            </w:tcMar>
            <w:vAlign w:val="center"/>
          </w:tcPr>
          <w:p>
            <w:r>
              <w:t>src/phase1_ingestion/storage_serializers_view.py</w:t>
            </w:r>
          </w:p>
        </w:tc>
      </w:tr>
      <w:tr>
        <w:tc>
          <w:tcPr>
            <w:tcW w:type="dxa" w:w="1600"/>
            <w:tcMar>
              <w:top w:w="80" w:type="dxa"/>
              <w:start w:w="120" w:type="dxa"/>
              <w:bottom w:w="80" w:type="dxa"/>
              <w:end w:w="120" w:type="dxa"/>
            </w:tcMar>
            <w:vAlign w:val="center"/>
          </w:tcPr>
          <w:p>
            <w:r>
              <w:t>Execution and verification</w:t>
            </w:r>
          </w:p>
        </w:tc>
        <w:tc>
          <w:tcPr>
            <w:tcW w:type="dxa" w:w="4600"/>
            <w:tcMar>
              <w:top w:w="80" w:type="dxa"/>
              <w:start w:w="120" w:type="dxa"/>
              <w:bottom w:w="80" w:type="dxa"/>
              <w:end w:w="120" w:type="dxa"/>
            </w:tcMar>
            <w:vAlign w:val="center"/>
          </w:tcPr>
          <w:p>
            <w:r>
              <w:t>Defines the three stream configurations, captures metrics, produces reports and graphs, and runs tests.</w:t>
            </w:r>
          </w:p>
        </w:tc>
        <w:tc>
          <w:tcPr>
            <w:tcW w:type="dxa" w:w="3160"/>
            <w:tcMar>
              <w:top w:w="80" w:type="dxa"/>
              <w:start w:w="120" w:type="dxa"/>
              <w:bottom w:w="80" w:type="dxa"/>
              <w:end w:w="120" w:type="dxa"/>
            </w:tcMar>
            <w:vAlign w:val="center"/>
          </w:tcPr>
          <w:p>
            <w:r>
              <w:t>verify/phase1/</w:t>
            </w:r>
          </w:p>
        </w:tc>
      </w:tr>
    </w:tbl>
    <w:p>
      <w:pPr>
        <w:spacing w:after="0"/>
      </w:pPr>
    </w:p>
    <w:p>
      <w:pPr>
        <w:pStyle w:val="Heading1"/>
      </w:pPr>
      <w:r>
        <w:t>2. End-to-End Process</w:t>
      </w:r>
    </w:p>
    <w:p>
      <w:pPr>
        <w:pStyle w:val="ListNumber"/>
        <w:spacing w:after="120" w:line="300" w:lineRule="auto"/>
      </w:pPr>
      <w:r>
        <w:rPr>
          <w:b/>
        </w:rPr>
        <w:t xml:space="preserve">Locate raw sources: </w:t>
      </w:r>
      <w:r>
        <w:t>Read the two Kaggle Twitter CSV files, the curated political-event CSV, and the normalized FEC electoral-return CSV from data/01_raw.</w:t>
      </w:r>
    </w:p>
    <w:p>
      <w:pPr>
        <w:pStyle w:val="ListNumber"/>
        <w:spacing w:after="120" w:line="300" w:lineRule="auto"/>
      </w:pPr>
      <w:r>
        <w:rPr>
          <w:b/>
        </w:rPr>
        <w:t xml:space="preserve">Read efficiently: </w:t>
      </w:r>
      <w:r>
        <w:t>Load the small event and electoral streams normally. Stream the approximately 865 MB of Twitter CSV data in Arrow batches to avoid loading an entire file into memory.</w:t>
      </w:r>
    </w:p>
    <w:p>
      <w:pPr>
        <w:pStyle w:val="ListNumber"/>
        <w:spacing w:after="120" w:line="300" w:lineRule="auto"/>
      </w:pPr>
      <w:r>
        <w:rPr>
          <w:b/>
        </w:rPr>
        <w:t xml:space="preserve">Map into canonical schemas: </w:t>
      </w:r>
      <w:r>
        <w:t>Rename source fields, add source and candidate labels, derive electoral metrics, and retain only the configured output fields.</w:t>
      </w:r>
    </w:p>
    <w:p>
      <w:pPr>
        <w:pStyle w:val="ListNumber"/>
        <w:spacing w:after="120" w:line="300" w:lineRule="auto"/>
      </w:pPr>
      <w:r>
        <w:rPr>
          <w:b/>
        </w:rPr>
        <w:t xml:space="preserve">Align timestamps: </w:t>
      </w:r>
      <w:r>
        <w:t>Convert all configured date fields into timezone-aware UTC timestamps through pandas.to_datetime(..., utc=True).</w:t>
      </w:r>
    </w:p>
    <w:p>
      <w:pPr>
        <w:pStyle w:val="ListNumber"/>
        <w:spacing w:after="120" w:line="300" w:lineRule="auto"/>
      </w:pPr>
      <w:r>
        <w:rPr>
          <w:b/>
        </w:rPr>
        <w:t xml:space="preserve">Persist interim outputs: </w:t>
      </w:r>
      <w:r>
        <w:t>Write each aligned stream to Parquet under data/02_interim. Streaming Twitter batches are appended through a ParquetWriter.</w:t>
      </w:r>
    </w:p>
    <w:p>
      <w:pPr>
        <w:pStyle w:val="ListNumber"/>
        <w:spacing w:after="120" w:line="300" w:lineRule="auto"/>
      </w:pPr>
      <w:r>
        <w:rPr>
          <w:b/>
        </w:rPr>
        <w:t xml:space="preserve">Verify and report: </w:t>
      </w:r>
      <w:r>
        <w:t>Compare written Parquet metadata with captured metrics, run automated tests, validate generated SVG graphs, and write the manifest and Phase 1 report.</w:t>
      </w:r>
    </w:p>
    <w:p>
      <w:pPr>
        <w:pStyle w:val="Heading1"/>
      </w:pPr>
      <w:r>
        <w:t>3. Stream-Specific Extraction</w:t>
      </w:r>
    </w:p>
    <w:p>
      <w:pPr>
        <w:pStyle w:val="Heading2"/>
      </w:pPr>
      <w:r>
        <w:t>Twitter Streams</w:t>
      </w:r>
    </w:p>
    <w:p>
      <w:r>
        <w:t>The Kaggle CSV files are large and contain multiline tweet text plus some rows with an invalid column count. Arrow streaming was selected because it supports batch processing, multiline values, explicit field selection, and an invalid-row handler.</w:t>
      </w:r>
    </w:p>
    <w:p>
      <w:pPr>
        <w:pStyle w:val="ListBullet"/>
        <w:spacing w:after="80" w:line="300" w:lineRule="auto"/>
      </w:pPr>
      <w:r>
        <w:t>Extracted source fields: created_at, tweet_id, tweet, retweet_count, user_id, and user_location.</w:t>
      </w:r>
    </w:p>
    <w:p>
      <w:pPr>
        <w:pStyle w:val="ListBullet"/>
        <w:spacing w:after="80" w:line="300" w:lineRule="auto"/>
      </w:pPr>
      <w:r>
        <w:t>Canonical renames: created_at to date, tweet_id to id, retweet_count to retweets, and user_location to user_loc.</w:t>
      </w:r>
    </w:p>
    <w:p>
      <w:pPr>
        <w:pStyle w:val="ListBullet"/>
        <w:spacing w:after="80" w:line="300" w:lineRule="auto"/>
      </w:pPr>
      <w:r>
        <w:t>Added constants: candidate, source_file, and replies. Replies is null because the source dataset does not provide it.</w:t>
      </w:r>
    </w:p>
    <w:p>
      <w:pPr>
        <w:pStyle w:val="ListBullet"/>
        <w:spacing w:after="80" w:line="300" w:lineRule="auto"/>
      </w:pPr>
      <w:r>
        <w:t>Tweet and user IDs remain strings because the source CSV stores them in scientific notation.</w:t>
      </w:r>
    </w:p>
    <w:p>
      <w:pPr>
        <w:pStyle w:val="ListBullet"/>
        <w:spacing w:after="80" w:line="300" w:lineRule="auto"/>
      </w:pPr>
      <w:r>
        <w:t>Malformed rows are skipped only because the Phase 1 runner explicitly requests skip behavior; every skipped row is counted.</w:t>
      </w:r>
    </w:p>
    <w:p>
      <w:pPr>
        <w:pStyle w:val="Heading2"/>
      </w:pPr>
      <w:r>
        <w:t>Political Event Stream</w:t>
      </w:r>
    </w:p>
    <w:p>
      <w:r>
        <w:t>The curated event CSV is mapped to an event-level schema containing the event identifier, UTC timestamp, original timezone, name, category, description, a post-event indicator, and source URL.</w:t>
      </w:r>
    </w:p>
    <w:p>
      <w:pPr>
        <w:pStyle w:val="Heading2"/>
      </w:pPr>
      <w:r>
        <w:t>Electoral Return Stream</w:t>
      </w:r>
    </w:p>
    <w:p>
      <w:r>
        <w:t>The FEC state-level records are validated and enriched with other-vote totals, candidate vote shares, signed Democratic margin, absolute margin, winner, and swing/safe classification. A state is classified as swing when its absolute margin is no greater than five percentage points.</w:t>
      </w:r>
    </w:p>
    <w:p>
      <w:pPr>
        <w:pStyle w:val="Heading1"/>
      </w:pPr>
      <w:r>
        <w:t>4. Verification Strategy</w:t>
      </w:r>
    </w:p>
    <w:p>
      <w:r>
        <w:t>Verification is layered so that failures can be traced to parsing, transformation, persistence, or output generation rather than appearing as one opaque pipeline error.</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c>
          <w:tcPr>
            <w:tcW w:type="dxa" w:w="1900"/>
            <w:shd w:fill="E8EEF5"/>
            <w:tcMar>
              <w:top w:w="80" w:type="dxa"/>
              <w:start w:w="120" w:type="dxa"/>
              <w:bottom w:w="80" w:type="dxa"/>
              <w:end w:w="120" w:type="dxa"/>
            </w:tcMar>
            <w:vAlign w:val="center"/>
          </w:tcPr>
          <w:p>
            <w:r>
              <w:rPr>
                <w:b/>
                <w:color w:val="1F4D78"/>
              </w:rPr>
              <w:t>Verification Layer</w:t>
            </w:r>
          </w:p>
        </w:tc>
        <w:tc>
          <w:tcPr>
            <w:tcW w:type="dxa" w:w="4300"/>
            <w:shd w:fill="E8EEF5"/>
            <w:tcMar>
              <w:top w:w="80" w:type="dxa"/>
              <w:start w:w="120" w:type="dxa"/>
              <w:bottom w:w="80" w:type="dxa"/>
              <w:end w:w="120" w:type="dxa"/>
            </w:tcMar>
            <w:vAlign w:val="center"/>
          </w:tcPr>
          <w:p>
            <w:r>
              <w:rPr>
                <w:b/>
                <w:color w:val="1F4D78"/>
              </w:rPr>
              <w:t>What It Checks</w:t>
            </w:r>
          </w:p>
        </w:tc>
        <w:tc>
          <w:tcPr>
            <w:tcW w:type="dxa" w:w="3160"/>
            <w:shd w:fill="E8EEF5"/>
            <w:tcMar>
              <w:top w:w="80" w:type="dxa"/>
              <w:start w:w="120" w:type="dxa"/>
              <w:bottom w:w="80" w:type="dxa"/>
              <w:end w:w="120" w:type="dxa"/>
            </w:tcMar>
            <w:vAlign w:val="center"/>
          </w:tcPr>
          <w:p>
            <w:r>
              <w:rPr>
                <w:b/>
                <w:color w:val="1F4D78"/>
              </w:rPr>
              <w:t>Evidence</w:t>
            </w:r>
          </w:p>
        </w:tc>
        <w:trPr>
          <w:tblHeader/>
        </w:trPr>
      </w:tr>
      <w:tr>
        <w:tc>
          <w:tcPr>
            <w:tcW w:type="dxa" w:w="1900"/>
            <w:tcMar>
              <w:top w:w="80" w:type="dxa"/>
              <w:start w:w="120" w:type="dxa"/>
              <w:bottom w:w="80" w:type="dxa"/>
              <w:end w:w="120" w:type="dxa"/>
            </w:tcMar>
            <w:vAlign w:val="center"/>
          </w:tcPr>
          <w:p>
            <w:r>
              <w:t>Automated unit tests</w:t>
            </w:r>
          </w:p>
        </w:tc>
        <w:tc>
          <w:tcPr>
            <w:tcW w:type="dxa" w:w="4300"/>
            <w:tcMar>
              <w:top w:w="80" w:type="dxa"/>
              <w:start w:w="120" w:type="dxa"/>
              <w:bottom w:w="80" w:type="dxa"/>
              <w:end w:w="120" w:type="dxa"/>
            </w:tcMar>
            <w:vAlign w:val="center"/>
          </w:tcPr>
          <w:p>
            <w:r>
              <w:t>CSV/JSON readers, streaming invalid-row counts, controller transformations, UTC conversion, and Parquet round trips.</w:t>
            </w:r>
          </w:p>
        </w:tc>
        <w:tc>
          <w:tcPr>
            <w:tcW w:type="dxa" w:w="3160"/>
            <w:tcMar>
              <w:top w:w="80" w:type="dxa"/>
              <w:start w:w="120" w:type="dxa"/>
              <w:bottom w:w="80" w:type="dxa"/>
              <w:end w:w="120" w:type="dxa"/>
            </w:tcMar>
            <w:vAlign w:val="center"/>
          </w:tcPr>
          <w:p>
            <w:r>
              <w:t>13 tests pass.</w:t>
            </w:r>
          </w:p>
        </w:tc>
      </w:tr>
      <w:tr>
        <w:tc>
          <w:tcPr>
            <w:tcW w:type="dxa" w:w="1900"/>
            <w:tcMar>
              <w:top w:w="80" w:type="dxa"/>
              <w:start w:w="120" w:type="dxa"/>
              <w:bottom w:w="80" w:type="dxa"/>
              <w:end w:w="120" w:type="dxa"/>
            </w:tcMar>
            <w:vAlign w:val="center"/>
          </w:tcPr>
          <w:p>
            <w:r>
              <w:t>In-run metrics</w:t>
            </w:r>
          </w:p>
        </w:tc>
        <w:tc>
          <w:tcPr>
            <w:tcW w:type="dxa" w:w="4300"/>
            <w:tcMar>
              <w:top w:w="80" w:type="dxa"/>
              <w:start w:w="120" w:type="dxa"/>
              <w:bottom w:w="80" w:type="dxa"/>
              <w:end w:w="120" w:type="dxa"/>
            </w:tcMar>
            <w:vAlign w:val="center"/>
          </w:tcPr>
          <w:p>
            <w:r>
              <w:t>Record counts, rejected malformed rows, date coverage, and missing canonical fields.</w:t>
            </w:r>
          </w:p>
        </w:tc>
        <w:tc>
          <w:tcPr>
            <w:tcW w:type="dxa" w:w="3160"/>
            <w:tcMar>
              <w:top w:w="80" w:type="dxa"/>
              <w:start w:w="120" w:type="dxa"/>
              <w:bottom w:w="80" w:type="dxa"/>
              <w:end w:w="120" w:type="dxa"/>
            </w:tcMar>
            <w:vAlign w:val="center"/>
          </w:tcPr>
          <w:p>
            <w:r>
              <w:t>output/results/phase1/ingestion_manifest.json</w:t>
            </w:r>
          </w:p>
        </w:tc>
      </w:tr>
      <w:tr>
        <w:tc>
          <w:tcPr>
            <w:tcW w:type="dxa" w:w="1900"/>
            <w:tcMar>
              <w:top w:w="80" w:type="dxa"/>
              <w:start w:w="120" w:type="dxa"/>
              <w:bottom w:w="80" w:type="dxa"/>
              <w:end w:w="120" w:type="dxa"/>
            </w:tcMar>
            <w:vAlign w:val="center"/>
          </w:tcPr>
          <w:p>
            <w:r>
              <w:t>Parquet metadata audit</w:t>
            </w:r>
          </w:p>
        </w:tc>
        <w:tc>
          <w:tcPr>
            <w:tcW w:type="dxa" w:w="4300"/>
            <w:tcMar>
              <w:top w:w="80" w:type="dxa"/>
              <w:start w:w="120" w:type="dxa"/>
              <w:bottom w:w="80" w:type="dxa"/>
              <w:end w:w="120" w:type="dxa"/>
            </w:tcMar>
            <w:vAlign w:val="center"/>
          </w:tcPr>
          <w:p>
            <w:r>
              <w:t>Written row counts, schemas, and row groups for all four interim files.</w:t>
            </w:r>
          </w:p>
        </w:tc>
        <w:tc>
          <w:tcPr>
            <w:tcW w:type="dxa" w:w="3160"/>
            <w:tcMar>
              <w:top w:w="80" w:type="dxa"/>
              <w:start w:w="120" w:type="dxa"/>
              <w:bottom w:w="80" w:type="dxa"/>
              <w:end w:w="120" w:type="dxa"/>
            </w:tcMar>
            <w:vAlign w:val="center"/>
          </w:tcPr>
          <w:p>
            <w:r>
              <w:t>data/02_interim/*.parquet</w:t>
            </w:r>
          </w:p>
        </w:tc>
      </w:tr>
      <w:tr>
        <w:tc>
          <w:tcPr>
            <w:tcW w:type="dxa" w:w="1900"/>
            <w:tcMar>
              <w:top w:w="80" w:type="dxa"/>
              <w:start w:w="120" w:type="dxa"/>
              <w:bottom w:w="80" w:type="dxa"/>
              <w:end w:w="120" w:type="dxa"/>
            </w:tcMar>
            <w:vAlign w:val="center"/>
          </w:tcPr>
          <w:p>
            <w:r>
              <w:t>Graph validation</w:t>
            </w:r>
          </w:p>
        </w:tc>
        <w:tc>
          <w:tcPr>
            <w:tcW w:type="dxa" w:w="4300"/>
            <w:tcMar>
              <w:top w:w="80" w:type="dxa"/>
              <w:start w:w="120" w:type="dxa"/>
              <w:bottom w:w="80" w:type="dxa"/>
              <w:end w:w="120" w:type="dxa"/>
            </w:tcMar>
            <w:vAlign w:val="center"/>
          </w:tcPr>
          <w:p>
            <w:r>
              <w:t>Generated SVG files are valid XML and contain Phase 1 record-count and daily-volume views.</w:t>
            </w:r>
          </w:p>
        </w:tc>
        <w:tc>
          <w:tcPr>
            <w:tcW w:type="dxa" w:w="3160"/>
            <w:tcMar>
              <w:top w:w="80" w:type="dxa"/>
              <w:start w:w="120" w:type="dxa"/>
              <w:bottom w:w="80" w:type="dxa"/>
              <w:end w:w="120" w:type="dxa"/>
            </w:tcMar>
            <w:vAlign w:val="center"/>
          </w:tcPr>
          <w:p>
            <w:r>
              <w:t>output/graphs/phase1/</w:t>
            </w:r>
          </w:p>
        </w:tc>
      </w:tr>
      <w:tr>
        <w:tc>
          <w:tcPr>
            <w:tcW w:type="dxa" w:w="1900"/>
            <w:tcMar>
              <w:top w:w="80" w:type="dxa"/>
              <w:start w:w="120" w:type="dxa"/>
              <w:bottom w:w="80" w:type="dxa"/>
              <w:end w:w="120" w:type="dxa"/>
            </w:tcMar>
            <w:vAlign w:val="center"/>
          </w:tcPr>
          <w:p>
            <w:r>
              <w:t>Human-readable report</w:t>
            </w:r>
          </w:p>
        </w:tc>
        <w:tc>
          <w:tcPr>
            <w:tcW w:type="dxa" w:w="4300"/>
            <w:tcMar>
              <w:top w:w="80" w:type="dxa"/>
              <w:start w:w="120" w:type="dxa"/>
              <w:bottom w:w="80" w:type="dxa"/>
              <w:end w:w="120" w:type="dxa"/>
            </w:tcMar>
            <w:vAlign w:val="center"/>
          </w:tcPr>
          <w:p>
            <w:r>
              <w:t>Summarizes results, coverage, electoral benchmarks, and limitations.</w:t>
            </w:r>
          </w:p>
        </w:tc>
        <w:tc>
          <w:tcPr>
            <w:tcW w:type="dxa" w:w="3160"/>
            <w:tcMar>
              <w:top w:w="80" w:type="dxa"/>
              <w:start w:w="120" w:type="dxa"/>
              <w:bottom w:w="80" w:type="dxa"/>
              <w:end w:w="120" w:type="dxa"/>
            </w:tcMar>
            <w:vAlign w:val="center"/>
          </w:tcPr>
          <w:p>
            <w:r>
              <w:t>output/reports/phase1/ingestion_report.md</w:t>
            </w:r>
          </w:p>
        </w:tc>
      </w:tr>
    </w:tbl>
    <w:p>
      <w:pPr>
        <w:spacing w:after="0"/>
      </w:pPr>
    </w:p>
    <w:p>
      <w:pPr>
        <w:pStyle w:val="Heading1"/>
      </w:pPr>
      <w:r>
        <w:t>5. Completed Results</w:t>
      </w:r>
    </w:p>
    <w:tbl>
      <w:tblPr>
        <w:tblStyle w:val="TableGrid"/>
        <w:tblW w:type="dxa" w:w="9360"/>
        <w:jc w:val="left"/>
        <w:tblLayout w:type="fixed"/>
        <w:tblLook w:firstColumn="1" w:firstRow="1" w:lastColumn="0" w:lastRow="0" w:noHBand="0" w:noVBand="1" w:val="04A0"/>
        <w:tblInd w:w="120" w:type="dxa"/>
      </w:tblPr>
      <w:tblGrid>
        <w:gridCol w:w="2300"/>
        <w:gridCol w:w="1700"/>
        <w:gridCol w:w="1900"/>
        <w:gridCol w:w="3460"/>
      </w:tblGrid>
      <w:tr>
        <w:tc>
          <w:tcPr>
            <w:tcW w:type="dxa" w:w="2300"/>
            <w:shd w:fill="E8EEF5"/>
            <w:tcMar>
              <w:top w:w="80" w:type="dxa"/>
              <w:start w:w="120" w:type="dxa"/>
              <w:bottom w:w="80" w:type="dxa"/>
              <w:end w:w="120" w:type="dxa"/>
            </w:tcMar>
            <w:vAlign w:val="center"/>
          </w:tcPr>
          <w:p>
            <w:r>
              <w:rPr>
                <w:b/>
                <w:color w:val="1F4D78"/>
              </w:rPr>
              <w:t>Stream</w:t>
            </w:r>
          </w:p>
        </w:tc>
        <w:tc>
          <w:tcPr>
            <w:tcW w:type="dxa" w:w="1700"/>
            <w:shd w:fill="E8EEF5"/>
            <w:tcMar>
              <w:top w:w="80" w:type="dxa"/>
              <w:start w:w="120" w:type="dxa"/>
              <w:bottom w:w="80" w:type="dxa"/>
              <w:end w:w="120" w:type="dxa"/>
            </w:tcMar>
            <w:vAlign w:val="center"/>
          </w:tcPr>
          <w:p>
            <w:r>
              <w:rPr>
                <w:b/>
                <w:color w:val="1F4D78"/>
              </w:rPr>
              <w:t>Valid Records</w:t>
            </w:r>
          </w:p>
        </w:tc>
        <w:tc>
          <w:tcPr>
            <w:tcW w:type="dxa" w:w="1900"/>
            <w:shd w:fill="E8EEF5"/>
            <w:tcMar>
              <w:top w:w="80" w:type="dxa"/>
              <w:start w:w="120" w:type="dxa"/>
              <w:bottom w:w="80" w:type="dxa"/>
              <w:end w:w="120" w:type="dxa"/>
            </w:tcMar>
            <w:vAlign w:val="center"/>
          </w:tcPr>
          <w:p>
            <w:r>
              <w:rPr>
                <w:b/>
                <w:color w:val="1F4D78"/>
              </w:rPr>
              <w:t>Rejected CSV Rows</w:t>
            </w:r>
          </w:p>
        </w:tc>
        <w:tc>
          <w:tcPr>
            <w:tcW w:type="dxa" w:w="3460"/>
            <w:shd w:fill="E8EEF5"/>
            <w:tcMar>
              <w:top w:w="80" w:type="dxa"/>
              <w:start w:w="120" w:type="dxa"/>
              <w:bottom w:w="80" w:type="dxa"/>
              <w:end w:w="120" w:type="dxa"/>
            </w:tcMar>
            <w:vAlign w:val="center"/>
          </w:tcPr>
          <w:p>
            <w:r>
              <w:rPr>
                <w:b/>
                <w:color w:val="1F4D78"/>
              </w:rPr>
              <w:t>Coverage / Notes</w:t>
            </w:r>
          </w:p>
        </w:tc>
        <w:trPr>
          <w:tblHeader/>
        </w:trPr>
      </w:tr>
      <w:tr>
        <w:tc>
          <w:tcPr>
            <w:tcW w:type="dxa" w:w="2300"/>
            <w:tcMar>
              <w:top w:w="80" w:type="dxa"/>
              <w:start w:w="120" w:type="dxa"/>
              <w:bottom w:w="80" w:type="dxa"/>
              <w:end w:w="120" w:type="dxa"/>
            </w:tcMar>
            <w:vAlign w:val="center"/>
          </w:tcPr>
          <w:p>
            <w:r>
              <w:t>Donald Trump tweets</w:t>
            </w:r>
          </w:p>
        </w:tc>
        <w:tc>
          <w:tcPr>
            <w:tcW w:type="dxa" w:w="1700"/>
            <w:tcMar>
              <w:top w:w="80" w:type="dxa"/>
              <w:start w:w="120" w:type="dxa"/>
              <w:bottom w:w="80" w:type="dxa"/>
              <w:end w:w="120" w:type="dxa"/>
            </w:tcMar>
            <w:vAlign w:val="center"/>
          </w:tcPr>
          <w:p>
            <w:r>
              <w:t>970,765</w:t>
            </w:r>
          </w:p>
        </w:tc>
        <w:tc>
          <w:tcPr>
            <w:tcW w:type="dxa" w:w="1900"/>
            <w:tcMar>
              <w:top w:w="80" w:type="dxa"/>
              <w:start w:w="120" w:type="dxa"/>
              <w:bottom w:w="80" w:type="dxa"/>
              <w:end w:w="120" w:type="dxa"/>
            </w:tcMar>
            <w:vAlign w:val="center"/>
          </w:tcPr>
          <w:p>
            <w:r>
              <w:t>323</w:t>
            </w:r>
          </w:p>
        </w:tc>
        <w:tc>
          <w:tcPr>
            <w:tcW w:type="dxa" w:w="3460"/>
            <w:tcMar>
              <w:top w:w="80" w:type="dxa"/>
              <w:start w:w="120" w:type="dxa"/>
              <w:bottom w:w="80" w:type="dxa"/>
              <w:end w:w="120" w:type="dxa"/>
            </w:tcMar>
            <w:vAlign w:val="center"/>
          </w:tcPr>
          <w:p>
            <w:r>
              <w:t>2020-10-15 00:00:01 UTC to 2020-11-08 23:59:56 UTC</w:t>
            </w:r>
          </w:p>
        </w:tc>
      </w:tr>
      <w:tr>
        <w:tc>
          <w:tcPr>
            <w:tcW w:type="dxa" w:w="2300"/>
            <w:tcMar>
              <w:top w:w="80" w:type="dxa"/>
              <w:start w:w="120" w:type="dxa"/>
              <w:bottom w:w="80" w:type="dxa"/>
              <w:end w:w="120" w:type="dxa"/>
            </w:tcMar>
            <w:vAlign w:val="center"/>
          </w:tcPr>
          <w:p>
            <w:r>
              <w:t>Joe Biden tweets</w:t>
            </w:r>
          </w:p>
        </w:tc>
        <w:tc>
          <w:tcPr>
            <w:tcW w:type="dxa" w:w="1700"/>
            <w:tcMar>
              <w:top w:w="80" w:type="dxa"/>
              <w:start w:w="120" w:type="dxa"/>
              <w:bottom w:w="80" w:type="dxa"/>
              <w:end w:w="120" w:type="dxa"/>
            </w:tcMar>
            <w:vAlign w:val="center"/>
          </w:tcPr>
          <w:p>
            <w:r>
              <w:t>776,777</w:t>
            </w:r>
          </w:p>
        </w:tc>
        <w:tc>
          <w:tcPr>
            <w:tcW w:type="dxa" w:w="1900"/>
            <w:tcMar>
              <w:top w:w="80" w:type="dxa"/>
              <w:start w:w="120" w:type="dxa"/>
              <w:bottom w:w="80" w:type="dxa"/>
              <w:end w:w="120" w:type="dxa"/>
            </w:tcMar>
            <w:vAlign w:val="center"/>
          </w:tcPr>
          <w:p>
            <w:r>
              <w:t>296</w:t>
            </w:r>
          </w:p>
        </w:tc>
        <w:tc>
          <w:tcPr>
            <w:tcW w:type="dxa" w:w="3460"/>
            <w:tcMar>
              <w:top w:w="80" w:type="dxa"/>
              <w:start w:w="120" w:type="dxa"/>
              <w:bottom w:w="80" w:type="dxa"/>
              <w:end w:w="120" w:type="dxa"/>
            </w:tcMar>
            <w:vAlign w:val="center"/>
          </w:tcPr>
          <w:p>
            <w:r>
              <w:t>2020-10-15 00:00:01 UTC to 2020-11-08 23:59:58 UTC</w:t>
            </w:r>
          </w:p>
        </w:tc>
      </w:tr>
      <w:tr>
        <w:tc>
          <w:tcPr>
            <w:tcW w:type="dxa" w:w="2300"/>
            <w:tcMar>
              <w:top w:w="80" w:type="dxa"/>
              <w:start w:w="120" w:type="dxa"/>
              <w:bottom w:w="80" w:type="dxa"/>
              <w:end w:w="120" w:type="dxa"/>
            </w:tcMar>
            <w:vAlign w:val="center"/>
          </w:tcPr>
          <w:p>
            <w:r>
              <w:t>Political events</w:t>
            </w:r>
          </w:p>
        </w:tc>
        <w:tc>
          <w:tcPr>
            <w:tcW w:type="dxa" w:w="1700"/>
            <w:tcMar>
              <w:top w:w="80" w:type="dxa"/>
              <w:start w:w="120" w:type="dxa"/>
              <w:bottom w:w="80" w:type="dxa"/>
              <w:end w:w="120" w:type="dxa"/>
            </w:tcMar>
            <w:vAlign w:val="center"/>
          </w:tcPr>
          <w:p>
            <w:r>
              <w:t>4</w:t>
            </w:r>
          </w:p>
        </w:tc>
        <w:tc>
          <w:tcPr>
            <w:tcW w:type="dxa" w:w="1900"/>
            <w:tcMar>
              <w:top w:w="80" w:type="dxa"/>
              <w:start w:w="120" w:type="dxa"/>
              <w:bottom w:w="80" w:type="dxa"/>
              <w:end w:w="120" w:type="dxa"/>
            </w:tcMar>
            <w:vAlign w:val="center"/>
          </w:tcPr>
          <w:p>
            <w:r>
              <w:t>0</w:t>
            </w:r>
          </w:p>
        </w:tc>
        <w:tc>
          <w:tcPr>
            <w:tcW w:type="dxa" w:w="3460"/>
            <w:tcMar>
              <w:top w:w="80" w:type="dxa"/>
              <w:start w:w="120" w:type="dxa"/>
              <w:bottom w:w="80" w:type="dxa"/>
              <w:end w:w="120" w:type="dxa"/>
            </w:tcMar>
            <w:vAlign w:val="center"/>
          </w:tcPr>
          <w:p>
            <w:r>
              <w:t>UTC-aligned event-level records</w:t>
            </w:r>
          </w:p>
        </w:tc>
      </w:tr>
      <w:tr>
        <w:tc>
          <w:tcPr>
            <w:tcW w:type="dxa" w:w="2300"/>
            <w:tcMar>
              <w:top w:w="80" w:type="dxa"/>
              <w:start w:w="120" w:type="dxa"/>
              <w:bottom w:w="80" w:type="dxa"/>
              <w:end w:w="120" w:type="dxa"/>
            </w:tcMar>
            <w:vAlign w:val="center"/>
          </w:tcPr>
          <w:p>
            <w:r>
              <w:t>Electoral returns</w:t>
            </w:r>
          </w:p>
        </w:tc>
        <w:tc>
          <w:tcPr>
            <w:tcW w:type="dxa" w:w="1700"/>
            <w:tcMar>
              <w:top w:w="80" w:type="dxa"/>
              <w:start w:w="120" w:type="dxa"/>
              <w:bottom w:w="80" w:type="dxa"/>
              <w:end w:w="120" w:type="dxa"/>
            </w:tcMar>
            <w:vAlign w:val="center"/>
          </w:tcPr>
          <w:p>
            <w:r>
              <w:t>51</w:t>
            </w:r>
          </w:p>
        </w:tc>
        <w:tc>
          <w:tcPr>
            <w:tcW w:type="dxa" w:w="1900"/>
            <w:tcMar>
              <w:top w:w="80" w:type="dxa"/>
              <w:start w:w="120" w:type="dxa"/>
              <w:bottom w:w="80" w:type="dxa"/>
              <w:end w:w="120" w:type="dxa"/>
            </w:tcMar>
            <w:vAlign w:val="center"/>
          </w:tcPr>
          <w:p>
            <w:r>
              <w:t>0</w:t>
            </w:r>
          </w:p>
        </w:tc>
        <w:tc>
          <w:tcPr>
            <w:tcW w:type="dxa" w:w="3460"/>
            <w:tcMar>
              <w:top w:w="80" w:type="dxa"/>
              <w:start w:w="120" w:type="dxa"/>
              <w:bottom w:w="80" w:type="dxa"/>
              <w:end w:w="120" w:type="dxa"/>
            </w:tcMar>
            <w:vAlign w:val="center"/>
          </w:tcPr>
          <w:p>
            <w:r>
              <w:t>All states plus DC</w:t>
            </w:r>
          </w:p>
        </w:tc>
      </w:tr>
    </w:tbl>
    <w:p>
      <w:pPr>
        <w:spacing w:after="0"/>
      </w:pPr>
    </w:p>
    <w:p>
      <w:r>
        <w:t>The Twitter streams contain 1,747,542 valid records in total. The ingestion process rejected and reported 619 malformed CSV rows.</w:t>
      </w:r>
    </w:p>
    <w:p>
      <w:pPr>
        <w:pStyle w:val="Heading1"/>
      </w:pPr>
      <w:r>
        <w:t>6. Output Locations</w:t>
      </w:r>
    </w:p>
    <w:tbl>
      <w:tblPr>
        <w:tblStyle w:val="TableGrid"/>
        <w:tblW w:type="dxa" w:w="9360"/>
        <w:jc w:val="left"/>
        <w:tblLayout w:type="fixed"/>
        <w:tblLook w:firstColumn="1" w:firstRow="1" w:lastColumn="0" w:lastRow="0" w:noHBand="0" w:noVBand="1" w:val="04A0"/>
        <w:tblInd w:w="120" w:type="dxa"/>
      </w:tblPr>
      <w:tblGrid>
        <w:gridCol w:w="3300"/>
        <w:gridCol w:w="6060"/>
      </w:tblGrid>
      <w:tr>
        <w:tc>
          <w:tcPr>
            <w:tcW w:type="dxa" w:w="3300"/>
            <w:shd w:fill="E8EEF5"/>
            <w:tcMar>
              <w:top w:w="80" w:type="dxa"/>
              <w:start w:w="120" w:type="dxa"/>
              <w:bottom w:w="80" w:type="dxa"/>
              <w:end w:w="120" w:type="dxa"/>
            </w:tcMar>
            <w:vAlign w:val="center"/>
          </w:tcPr>
          <w:p>
            <w:r>
              <w:rPr>
                <w:b/>
                <w:color w:val="1F4D78"/>
              </w:rPr>
              <w:t>Artifact</w:t>
            </w:r>
          </w:p>
        </w:tc>
        <w:tc>
          <w:tcPr>
            <w:tcW w:type="dxa" w:w="6060"/>
            <w:shd w:fill="E8EEF5"/>
            <w:tcMar>
              <w:top w:w="80" w:type="dxa"/>
              <w:start w:w="120" w:type="dxa"/>
              <w:bottom w:w="80" w:type="dxa"/>
              <w:end w:w="120" w:type="dxa"/>
            </w:tcMar>
            <w:vAlign w:val="center"/>
          </w:tcPr>
          <w:p>
            <w:r>
              <w:rPr>
                <w:b/>
                <w:color w:val="1F4D78"/>
              </w:rPr>
              <w:t>Purpose</w:t>
            </w:r>
          </w:p>
        </w:tc>
        <w:trPr>
          <w:tblHeader/>
        </w:trPr>
      </w:tr>
      <w:tr>
        <w:tc>
          <w:tcPr>
            <w:tcW w:type="dxa" w:w="3300"/>
            <w:tcMar>
              <w:top w:w="80" w:type="dxa"/>
              <w:start w:w="120" w:type="dxa"/>
              <w:bottom w:w="80" w:type="dxa"/>
              <w:end w:w="120" w:type="dxa"/>
            </w:tcMar>
            <w:vAlign w:val="center"/>
          </w:tcPr>
          <w:p>
            <w:r>
              <w:t>data/02_interim/*.parquet</w:t>
            </w:r>
          </w:p>
        </w:tc>
        <w:tc>
          <w:tcPr>
            <w:tcW w:type="dxa" w:w="6060"/>
            <w:tcMar>
              <w:top w:w="80" w:type="dxa"/>
              <w:start w:w="120" w:type="dxa"/>
              <w:bottom w:w="80" w:type="dxa"/>
              <w:end w:w="120" w:type="dxa"/>
            </w:tcMar>
            <w:vAlign w:val="center"/>
          </w:tcPr>
          <w:p>
            <w:r>
              <w:t>Canonical UTC-aligned datasets used by later phases.</w:t>
            </w:r>
          </w:p>
        </w:tc>
      </w:tr>
      <w:tr>
        <w:tc>
          <w:tcPr>
            <w:tcW w:type="dxa" w:w="3300"/>
            <w:tcMar>
              <w:top w:w="80" w:type="dxa"/>
              <w:start w:w="120" w:type="dxa"/>
              <w:bottom w:w="80" w:type="dxa"/>
              <w:end w:w="120" w:type="dxa"/>
            </w:tcMar>
            <w:vAlign w:val="center"/>
          </w:tcPr>
          <w:p>
            <w:r>
              <w:t>output/results/phase1/ingestion_manifest.json</w:t>
            </w:r>
          </w:p>
        </w:tc>
        <w:tc>
          <w:tcPr>
            <w:tcW w:type="dxa" w:w="6060"/>
            <w:tcMar>
              <w:top w:w="80" w:type="dxa"/>
              <w:start w:w="120" w:type="dxa"/>
              <w:bottom w:w="80" w:type="dxa"/>
              <w:end w:w="120" w:type="dxa"/>
            </w:tcMar>
            <w:vAlign w:val="center"/>
          </w:tcPr>
          <w:p>
            <w:r>
              <w:t>Machine-readable record counts, schemas, coverage, missing fields, and rejection counts.</w:t>
            </w:r>
          </w:p>
        </w:tc>
      </w:tr>
      <w:tr>
        <w:tc>
          <w:tcPr>
            <w:tcW w:type="dxa" w:w="3300"/>
            <w:tcMar>
              <w:top w:w="80" w:type="dxa"/>
              <w:start w:w="120" w:type="dxa"/>
              <w:bottom w:w="80" w:type="dxa"/>
              <w:end w:w="120" w:type="dxa"/>
            </w:tcMar>
            <w:vAlign w:val="center"/>
          </w:tcPr>
          <w:p>
            <w:r>
              <w:t>output/reports/phase1/ingestion_report.md</w:t>
            </w:r>
          </w:p>
        </w:tc>
        <w:tc>
          <w:tcPr>
            <w:tcW w:type="dxa" w:w="6060"/>
            <w:tcMar>
              <w:top w:w="80" w:type="dxa"/>
              <w:start w:w="120" w:type="dxa"/>
              <w:bottom w:w="80" w:type="dxa"/>
              <w:end w:w="120" w:type="dxa"/>
            </w:tcMar>
            <w:vAlign w:val="center"/>
          </w:tcPr>
          <w:p>
            <w:r>
              <w:t>Human-readable Phase 1 execution summary.</w:t>
            </w:r>
          </w:p>
        </w:tc>
      </w:tr>
      <w:tr>
        <w:tc>
          <w:tcPr>
            <w:tcW w:type="dxa" w:w="3300"/>
            <w:tcMar>
              <w:top w:w="80" w:type="dxa"/>
              <w:start w:w="120" w:type="dxa"/>
              <w:bottom w:w="80" w:type="dxa"/>
              <w:end w:w="120" w:type="dxa"/>
            </w:tcMar>
            <w:vAlign w:val="center"/>
          </w:tcPr>
          <w:p>
            <w:r>
              <w:t>output/graphs/phase1/*.svg</w:t>
            </w:r>
          </w:p>
        </w:tc>
        <w:tc>
          <w:tcPr>
            <w:tcW w:type="dxa" w:w="6060"/>
            <w:tcMar>
              <w:top w:w="80" w:type="dxa"/>
              <w:start w:w="120" w:type="dxa"/>
              <w:bottom w:w="80" w:type="dxa"/>
              <w:end w:w="120" w:type="dxa"/>
            </w:tcMar>
            <w:vAlign w:val="center"/>
          </w:tcPr>
          <w:p>
            <w:r>
              <w:t>Record-count and daily-volume EDA graphs.</w:t>
            </w:r>
          </w:p>
        </w:tc>
      </w:tr>
      <w:tr>
        <w:tc>
          <w:tcPr>
            <w:tcW w:type="dxa" w:w="3300"/>
            <w:tcMar>
              <w:top w:w="80" w:type="dxa"/>
              <w:start w:w="120" w:type="dxa"/>
              <w:bottom w:w="80" w:type="dxa"/>
              <w:end w:w="120" w:type="dxa"/>
            </w:tcMar>
            <w:vAlign w:val="center"/>
          </w:tcPr>
          <w:p>
            <w:r>
              <w:t>verify/phase1/</w:t>
            </w:r>
          </w:p>
        </w:tc>
        <w:tc>
          <w:tcPr>
            <w:tcW w:type="dxa" w:w="6060"/>
            <w:tcMar>
              <w:top w:w="80" w:type="dxa"/>
              <w:start w:w="120" w:type="dxa"/>
              <w:bottom w:w="80" w:type="dxa"/>
              <w:end w:w="120" w:type="dxa"/>
            </w:tcMar>
            <w:vAlign w:val="center"/>
          </w:tcPr>
          <w:p>
            <w:r>
              <w:t>Dataset-specific execution script and verification tests.</w:t>
            </w:r>
          </w:p>
        </w:tc>
      </w:tr>
    </w:tbl>
    <w:p>
      <w:pPr>
        <w:spacing w:after="0"/>
      </w:pPr>
    </w:p>
    <w:p>
      <w:pPr>
        <w:pStyle w:val="Heading1"/>
      </w:pPr>
      <w:r>
        <w:t>7. Known Limitations and Boundaries</w:t>
      </w:r>
    </w:p>
    <w:p>
      <w:pPr>
        <w:pStyle w:val="ListBullet"/>
        <w:spacing w:after="80" w:line="300" w:lineRule="auto"/>
      </w:pPr>
      <w:r>
        <w:t>The downloaded Kaggle data covers October 15 through November 8, 2020, rather than the broader planned October 8 through November 15 period.</w:t>
      </w:r>
    </w:p>
    <w:p>
      <w:pPr>
        <w:pStyle w:val="ListBullet"/>
        <w:spacing w:after="80" w:line="300" w:lineRule="auto"/>
      </w:pPr>
      <w:r>
        <w:t>The source has no replies field, so replies is null in the canonical Twitter schema.</w:t>
      </w:r>
    </w:p>
    <w:p>
      <w:pPr>
        <w:pStyle w:val="ListBullet"/>
        <w:spacing w:after="80" w:line="300" w:lineRule="auto"/>
      </w:pPr>
      <w:r>
        <w:t>A large share of records lacks user-location text: 295,110 Trump-stream records and 233,872 Biden-stream records.</w:t>
      </w:r>
    </w:p>
    <w:p>
      <w:pPr>
        <w:pStyle w:val="ListBullet"/>
        <w:spacing w:after="80" w:line="300" w:lineRule="auto"/>
      </w:pPr>
      <w:r>
        <w:t>Exact duplicate tweets remain in the interim outputs because duplicate removal and bot filtering belong to Phase 2.</w:t>
      </w:r>
    </w:p>
    <w:p>
      <w:pPr>
        <w:pStyle w:val="ListBullet"/>
        <w:spacing w:after="80" w:line="300" w:lineRule="auto"/>
      </w:pPr>
      <w:r>
        <w:t>The political-event post_event_dummy is an event-level marker. Time-indexed post-event indicators for ITSA will be generated during later temporal aggregation/modeling.</w:t>
      </w:r>
    </w:p>
    <w:p>
      <w:pPr>
        <w:pStyle w:val="Heading1"/>
      </w:pPr>
      <w:r>
        <w:t>8. Reproduction Command</w:t>
      </w:r>
    </w:p>
    <w:p>
      <w:pPr>
        <w:spacing w:after="160"/>
        <w:ind w:left="360"/>
      </w:pPr>
      <w:r>
        <w:rPr>
          <w:rFonts w:ascii="Consolas" w:hAnsi="Consolas"/>
          <w:sz w:val="20"/>
        </w:rPr>
        <w:t>.venv\Scripts\python.exe verify\phase1\run_phase1.py</w:t>
      </w:r>
    </w:p>
    <w:p>
      <w:r>
        <w:t>Running this command recreates the interim Parquet files, Phase 1 manifest, report, and graphs from the raw inputs.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8"/>
      </w:rPr>
      <w:t>Phase 1 Ingestion and Verification Process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26C"/>
        <w:sz w:val="18"/>
      </w:rPr>
      <w:t>2020 Election Sentiment Analysis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A626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