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6AFF9">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3.1 Authentication &amp; User Authorization</w:t>
      </w:r>
    </w:p>
    <w:p w14:paraId="65766238">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Authentication is implemented with JWT bearer tokens to secure system access across all client applications. The involved classes and components are: AuthController (exposing the POST /api/auth/login endpoint with the AuthPolicy rate limiter), AccountRepository (retrieving account credentials and status), BCrypt.Net (verifying hashed passwords with a constant-time dummy hash fallback to prevent username enumeration timing attacks), RoleRepository (resolving role-based authorization claims), UserProfileRepository (retrieving the user's full name and personal metadata), and ITokenService / TokenService (generating signed JWT access tokens containing user claims). On the presentation tier, login.jsx submits user credentials, captures the returned AuthResponse, persists the JWT token and profile to localStorage, and updates the React authentication context before redirecting to the role-specific dashboard.</w:t>
      </w:r>
    </w:p>
    <w:p w14:paraId="778FB32A">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762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76237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3.2 Course Syllabus Management</w:t>
      </w:r>
    </w:p>
    <w:p w14:paraId="6BAA9310">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Course management provides the structural foundation for aviation training curricula conforming to CAAV/ICAO frameworks. The involved classes are: CoursesController (exposing POST /api/Courses restricted to Academic Staff and Admin roles), ICourseService / CourseService (handling business logic, duplicate code validation, and syllabus version tracking), CourseRepository (persisting course entities with total planned theoretical and flight hours), and AuditLogRepository (recording course creation events with an immutable audit entry). CourseManagement.jsx provides the administrative interface for Academic Staff to configure course metadata, credit weightings, and regulatory syllabus codes.</w:t>
      </w:r>
    </w:p>
    <w:p w14:paraId="704C4AE9">
      <w:pPr>
        <w:pStyle w:val="2"/>
        <w:keepNext w:val="0"/>
        <w:keepLines w:val="0"/>
        <w:widowControl/>
        <w:suppressLineNumbers w:val="0"/>
        <w:bidi w:val="0"/>
        <w:spacing w:before="40" w:beforeAutospacing="0" w:after="0" w:afterAutospacing="0" w:line="16" w:lineRule="atLeast"/>
      </w:pPr>
      <w:r>
        <w:rPr>
          <w:rFonts w:ascii="Times New Roman" w:hAnsi="Times New Roman" w:eastAsia="Times New Roman" w:cs="Times New Roman"/>
          <w:sz w:val="24"/>
          <w:szCs w:val="24"/>
        </w:rPr>
        <w:drawing>
          <wp:inline distT="0" distB="0" distL="0" distR="0">
            <wp:extent cx="5943600" cy="30270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302704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3.3 Subject Module Configuration</w:t>
      </w:r>
    </w:p>
    <w:p w14:paraId="51041FD1">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Subject configuration defines individual theoretical and practical modules attached to training courses. The involved classes are: SubjectsController (exposing POST /api/Subjects for Academic Staff and Training Managers), ISubjectService / SubjectService (validating unique subject codes within the syllabus and enforcing standard passing thresholds, typically 75%), SubjectRepository (storing theoretical/simulator hours and grading schemas), and AuditLogRepository (tracking curriculum additions). On the client side, SubjectModal.jsx allows academic officers to define subject codes, titles, allocated flight/ground hours, and mandatory completion criteria.</w:t>
      </w:r>
    </w:p>
    <w:p w14:paraId="7860A241">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060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060700"/>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3.4 Class Cohort Scheduling</w:t>
      </w:r>
    </w:p>
    <w:p w14:paraId="54C9C5CF">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Class scheduling establishes physical training cohorts delivering structured courses for student groups. The involved classes are: ClassesController (exposing POST /api/Classes), IClassService / ClassService (verifying active course syllabus availability, validating cohort date ranges, and checking code uniqueness), CourseRepository (ensuring parent course validity), ClassRepository (persisting cohort records with planned capacity and operational status), and AuditLogRepository (logging class creation). Through ClassManagement.jsx, Academic Staff initialize class cohorts, assign academic schedules, and define start and expected graduation timelines.</w:t>
      </w:r>
    </w:p>
    <w:p w14:paraId="6E6886F6">
      <w:pPr>
        <w:spacing w:after="0" w:line="240" w:lineRule="auto"/>
        <w:rPr>
          <w:rFonts w:ascii="Times New Roman" w:hAnsi="Times New Roman" w:eastAsia="Times New Roman" w:cs="Times New Roman"/>
          <w:sz w:val="24"/>
          <w:szCs w:val="24"/>
        </w:rPr>
      </w:pPr>
    </w:p>
    <w:p w14:paraId="37FE4B5E">
      <w:pPr>
        <w:spacing w:after="0" w:line="240" w:lineRule="auto"/>
        <w:rPr>
          <w:rFonts w:ascii="Times New Roman" w:hAnsi="Times New Roman" w:eastAsia="Times New Roman" w:cs="Times New Roman"/>
          <w:sz w:val="24"/>
          <w:szCs w:val="24"/>
        </w:rPr>
      </w:pPr>
    </w:p>
    <w:p w14:paraId="47FF7C63">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0645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3064510"/>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3.5 Student Course Enrollment &amp; ETR Auto-provisioning</w:t>
      </w:r>
    </w:p>
    <w:p w14:paraId="10E58EB3">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Course enrollment formally registers students into active training cohorts and initializes their Electronic Training Record dossiers. The involved classes are: EnrollmentsController (exposing POST /api/Enrollments), IEnrollmentService / EnrollmentService (orchestrating transactional provisioning), ClassRepository (verifying cohort capacity limits and active class status), CourseEnrollmentRepository (storing student-class associations), ETRCourseRecordRepository (automatically generating an initialized ETR dossier directly in InProgress status), and SubjectResultRepository (generating placeholder result records for all mandatory subjects defined in the course curriculum). EnrollStudentModal.jsx enables Academic Staff to enroll qualified students, triggering automatic multi-table provisioning within a single database transaction.</w:t>
      </w:r>
    </w:p>
    <w:p w14:paraId="08F8046D">
      <w:pPr>
        <w:spacing w:after="0" w:line="240" w:lineRule="auto"/>
        <w:rPr>
          <w:rFonts w:ascii="Times New Roman" w:hAnsi="Times New Roman" w:eastAsia="Times New Roman" w:cs="Times New Roman"/>
          <w:sz w:val="24"/>
          <w:szCs w:val="24"/>
        </w:rPr>
      </w:pPr>
    </w:p>
    <w:p w14:paraId="4DA1C35B">
      <w:pPr>
        <w:keepNext w:val="0"/>
        <w:keepLines w:val="0"/>
        <w:widowControl/>
        <w:suppressLineNumbers w:val="0"/>
        <w:jc w:val="left"/>
      </w:pPr>
      <w:r>
        <w:rPr>
          <w:rFonts w:ascii="Times New Roman" w:hAnsi="Times New Roman" w:eastAsia="Times New Roman" w:cs="Times New Roman"/>
          <w:sz w:val="24"/>
          <w:szCs w:val="24"/>
        </w:rPr>
        <w:drawing>
          <wp:inline distT="0" distB="0" distL="0" distR="0">
            <wp:extent cx="5943600" cy="31369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3136900"/>
                    </a:xfrm>
                    <a:prstGeom prst="rect">
                      <a:avLst/>
                    </a:prstGeom>
                  </pic:spPr>
                </pic:pic>
              </a:graphicData>
            </a:graphic>
          </wp:inline>
        </w:drawing>
      </w:r>
    </w:p>
    <w:p w14:paraId="5122004F">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3.6 Session Attendance Recording &amp; Rate Recalculation</w:t>
      </w:r>
    </w:p>
    <w:p w14:paraId="4B521290">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Attendance tracking monitors student participation across scheduled lectures and flight sorties to ensure minimum regulatory presence. The involved classes are: AttendanceController (exposing POST /api/Attendance/record), IAttendanceService / AttendanceService (enforcing session ownership validation so instructors can only record attendance for assigned classes), AttendanceRepository (logging student attendance statuses: Present, Absent, Excused), and SubjectResultRepository (automatically recalculating and updating the student's cumulative AttendanceRate percentage for the associated subject). InstructorAttendance.jsx allows instructors to mark attendance matrices, providing real-time warnings if a student's attendance falls below the mandatory 80% regulatory threshold.</w:t>
      </w:r>
    </w:p>
    <w:p w14:paraId="00042E40">
      <w:pPr>
        <w:keepNext w:val="0"/>
        <w:keepLines w:val="0"/>
        <w:widowControl/>
        <w:suppressLineNumbers w:val="0"/>
        <w:jc w:val="left"/>
      </w:pPr>
    </w:p>
    <w:p w14:paraId="01D2B131">
      <w:pPr>
        <w:spacing w:after="0" w:line="240" w:lineRule="auto"/>
        <w:rPr>
          <w:rFonts w:ascii="Times New Roman" w:hAnsi="Times New Roman" w:eastAsia="Times New Roman" w:cs="Times New Roman"/>
          <w:sz w:val="24"/>
          <w:szCs w:val="24"/>
        </w:rPr>
      </w:pPr>
    </w:p>
    <w:p w14:paraId="5CB08F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943600" cy="3061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061335"/>
                    </a:xfrm>
                    <a:prstGeom prst="rect">
                      <a:avLst/>
                    </a:prstGeom>
                  </pic:spPr>
                </pic:pic>
              </a:graphicData>
            </a:graphic>
          </wp:inline>
        </w:drawing>
      </w:r>
    </w:p>
    <w:p w14:paraId="516F4968">
      <w:pPr>
        <w:pStyle w:val="2"/>
        <w:keepNext w:val="0"/>
        <w:keepLines w:val="0"/>
        <w:widowControl/>
        <w:suppressLineNumbers w:val="0"/>
        <w:bidi w:val="0"/>
        <w:spacing w:before="240" w:beforeAutospacing="0" w:after="120" w:afterAutospacing="0" w:line="17" w:lineRule="atLeast"/>
      </w:pPr>
      <w:r>
        <w:rPr>
          <w:rFonts w:hint="default" w:ascii="Times New Roman" w:hAnsi="Times New Roman" w:cs="Times New Roman"/>
          <w:b/>
          <w:bCs/>
          <w:i w:val="0"/>
          <w:iCs w:val="0"/>
          <w:color w:val="000000"/>
          <w:sz w:val="30"/>
          <w:szCs w:val="30"/>
          <w:u w:val="none"/>
          <w:vertAlign w:val="baseline"/>
        </w:rPr>
        <w:t>3.7 Assessment Score Recording &amp; Progress Evaluation</w:t>
      </w:r>
    </w:p>
    <w:p w14:paraId="67AB8BB1">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Assessment grading records performance evaluations for theoretical examinations and flight tests. The involved classes are: AssessmentResultsController (exposing POST /api/AssessmentResults/record), IAssessmentResultService / AssessmentResultService (managing evaluation workflows within a database execution strategy), ClassOwnershipValidator (verifying that the instructor is formally assigned to the subject in ClassSubjectRepository), AssessmentRepository (retrieving passing thresholds and component weights), AssessmentResultRepository (persisting raw scores, attempt counts, and pass/fail verdicts), and SubjectResultRepository (triggering automatic score recalculation). InstructorAssessments.jsx captures instructor score inputs and remarks, updating the grade roster and triggering audit logs.</w:t>
      </w:r>
    </w:p>
    <w:p w14:paraId="32A71EFA">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4283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342836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3.8 Practical Checklist Competency Evaluation</w:t>
      </w:r>
    </w:p>
    <w:p w14:paraId="6412EEFA">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Practical checklist evaluation assesses flight simulator sorties and flight maneuvers against standardized competency criteria. The involved classes are: PracticalChecklistResultsController (exposing POST /api/PracticalChecklistResults/record), IPracticalChecklistResultService / PracticalChecklistResultService (validating examiner credentials and checklist task prerequisites), PracticalChecklistResultRepository (recording itemized proficiency ratings such as Satisfactory or Unsatisfactory), and AuditLogRepository (logging examiner evaluations). Through ChecklistModal.jsx, flight instructors record competency observations for specific flight maneuvers, satisfying mandatory syllabus checklist items.</w:t>
      </w:r>
    </w:p>
    <w:p w14:paraId="46A9AE6A">
      <w:pPr>
        <w:spacing w:after="0" w:line="240" w:lineRule="auto"/>
        <w:rPr>
          <w:rFonts w:ascii="Times New Roman" w:hAnsi="Times New Roman" w:eastAsia="Times New Roman" w:cs="Times New Roman"/>
          <w:sz w:val="24"/>
          <w:szCs w:val="24"/>
        </w:rPr>
      </w:pPr>
    </w:p>
    <w:p w14:paraId="19FFF2A0">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3864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338645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3.9 Compliance Evidence Upload &amp; Integrity Hashing</w:t>
      </w:r>
    </w:p>
    <w:p w14:paraId="5AC5CAE0">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Evidence management maintains tamper-evident digital proof of student assessments and flight logbook entries. The involved classes are: EvidencesController (exposing POST /api/Evidences accepting multipart/form-data), IEvidenceService / EvidenceService (validating allowed file extensions .pdf, .png, .jpg and file size constraints), IStorageService (persisting binary payloads to physical or cloud storage), EvidenceRepository (persisting file metadata, URLs, and a computed SHA-256 cryptographic hash to prevent unauthorized alteration), and AuditLogRepository (logging evidence uploads). InstructorEvidence.jsx allows instructors and academic staff to attach examination sheets and signed logbook scans directly to subject result records.</w:t>
      </w:r>
    </w:p>
    <w:p w14:paraId="76960536">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123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312356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3.10 Subject Sign-off &amp; Completion Locking</w:t>
      </w:r>
    </w:p>
    <w:p w14:paraId="450727C3">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Subject sign-off serves as the formal instructor endorsement locking academic results upon completion of all syllabus requirements. The involved classes are: SubjectSignoffController (exposing POST /api/SubjectSignoff), IAssessmentResultService / AssessmentResultService (enforcing strict prerequisite validations: verifying instructor class assignment, absence of prior active sign-offs, presence of recorded attendance, completion of all course assessments, and evaluation of all mandatory practical checklists), SubjectResultRepository (updating subject status directly to Passed or Failed based on evaluation criteria), SubjectSignoffRepository (creating the digital sign-off endorsement record), and AuditLogRepository (recording the completion event). InstructorAssessments.jsx (via SubjectSignoffModal.jsx) renders the sign-off action, locking input fields against subsequent edits once endorsed.</w:t>
      </w:r>
    </w:p>
    <w:p w14:paraId="4C857A75">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134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3600" cy="313499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3.11 ETR Dossier Submission for QA Verification</w:t>
      </w:r>
    </w:p>
    <w:p w14:paraId="18CE7020">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ETR submission initiates the formal regulatory review pipeline once a student fulfills all course completion criteria. The involved classes are: EtrController (exposing POST /api/Etr/{id}/submit), IEtrService / EtrService (executing a comprehensive pre-validation engine: ensuring all mandatory subjects are Passed or Exempted, cumulative attendance meets or exceeds 80%, all attached evidence files are Verified, and all subjects have valid instructor sign-offs), ETRCourseRecordRepository (transitioning record status to Submitted and stamping SubmittedAt), IApprovalService / ApprovalService (automatically provisioning a new ApprovalRequest routed to QA/Training Managers), and AuditLogRepository (logging the dossier submission). EtrDetail.jsx displays the 100% completion progress badge and allows academic staff to dispatch the dossier for institutional review.</w:t>
      </w:r>
    </w:p>
    <w:p w14:paraId="64561156">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384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3848735"/>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3.12 ETR Multi-Level Approval Workflow</w:t>
      </w:r>
    </w:p>
    <w:p w14:paraId="00E28230">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The approval workflow governs institutional verification and executive sign-off for submitted ETR dossiers with support for corrections. The involved classes are: ApprovalsController (exposing POST /api/Approvals/{id}/process?action=...&amp;comment=...), IApprovalService / ApprovalService (enforcing strict role segregation: QA may Verify or Return, Training Manager may Approve or Return, and mandatory comments are enforced for any Return/Reject decision), ApprovalRequestRepository (updating workflow status to Verified, Approved, or ReturnedForCorrection), ApprovalHistoryRepository (preserving immutable audit trails of reviewer decisions, remarks, and timestamps), ETRCourseRecordRepository (synchronizing dossier state), and AuditLogRepository (logging security audit events). Through EtrApproval.jsx, reviewers evaluate dossiers and either endorse them or return them with specific correction rationale.</w:t>
      </w:r>
    </w:p>
    <w:p w14:paraId="0CEB9F45">
      <w:pPr>
        <w:pStyle w:val="2"/>
        <w:keepNext w:val="0"/>
        <w:keepLines w:val="0"/>
        <w:widowControl/>
        <w:suppressLineNumbers w:val="0"/>
        <w:bidi w:val="0"/>
        <w:spacing w:before="240" w:beforeAutospacing="0" w:after="120" w:afterAutospacing="0" w:line="17" w:lineRule="atLeast"/>
      </w:pPr>
      <w:r>
        <w:rPr>
          <w:rFonts w:ascii="Times New Roman" w:hAnsi="Times New Roman" w:eastAsia="Times New Roman" w:cs="Times New Roman"/>
          <w:sz w:val="24"/>
          <w:szCs w:val="24"/>
        </w:rPr>
        <w:drawing>
          <wp:inline distT="0" distB="0" distL="0" distR="0">
            <wp:extent cx="5943600" cy="4137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3600" cy="4137660"/>
                    </a:xfrm>
                    <a:prstGeom prst="rect">
                      <a:avLst/>
                    </a:prstGeom>
                  </pic:spPr>
                </pic:pic>
              </a:graphicData>
            </a:graphic>
          </wp:inline>
        </w:drawing>
      </w:r>
      <w:r>
        <w:rPr>
          <w:rFonts w:hint="default" w:ascii="Times New Roman" w:hAnsi="Times New Roman" w:cs="Times New Roman"/>
          <w:b/>
          <w:bCs/>
          <w:i w:val="0"/>
          <w:iCs w:val="0"/>
          <w:color w:val="000000"/>
          <w:sz w:val="30"/>
          <w:szCs w:val="30"/>
          <w:u w:val="none"/>
          <w:vertAlign w:val="baseline"/>
        </w:rPr>
        <w:t>3.13 Post-Signoff Amendment &amp; Subject Unlock</w:t>
      </w:r>
    </w:p>
    <w:p w14:paraId="585669AE">
      <w:pPr>
        <w:pStyle w:val="5"/>
        <w:keepNext w:val="0"/>
        <w:keepLines w:val="0"/>
        <w:widowControl/>
        <w:suppressLineNumbers w:val="0"/>
        <w:bidi w:val="0"/>
        <w:spacing w:before="0" w:beforeAutospacing="0" w:after="120" w:afterAutospacing="0" w:line="17" w:lineRule="atLeast"/>
      </w:pPr>
      <w:r>
        <w:rPr>
          <w:rFonts w:hint="default" w:ascii="Times New Roman" w:hAnsi="Times New Roman" w:cs="Times New Roman"/>
          <w:i w:val="0"/>
          <w:iCs w:val="0"/>
          <w:color w:val="000000"/>
          <w:sz w:val="22"/>
          <w:szCs w:val="22"/>
          <w:u w:val="none"/>
          <w:vertAlign w:val="baseline"/>
        </w:rPr>
        <w:t>The amendment workflow provides a strictly controlled mechanism to reopen signed-off subject results when corrections are justified. The involved classes are: SubjectSignoffController (initiating POST /api/SubjectSignoff/{id}/unlock-request), AmendmentsController (exposing POST /api/Amendments/{id}/approve restricted to Training Managers and Administrators), IAmendmentService / AmendmentService (verifying that the amendment is pending and that the parent ETR is not locked/completed), SubjectResultRepository (resetting subject status back to Pending to enable instructor re-grading), SubjectSignoffRepository (soft-deleting previous sign-off endorsements to mandate a fresh sign-off after correction), AmendmentRequestRepository (recording manager approval and comments), and AuditLogRepository (logging an AMENDMENT_APPROVE audit entry). TrainingManagerAmendments.jsx enables Training Managers to inspect amendment rationales and authorize unlock operations.</w:t>
      </w:r>
    </w:p>
    <w:p w14:paraId="28FB6C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943600" cy="41890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943600" cy="4189095"/>
                    </a:xfrm>
                    <a:prstGeom prst="rect">
                      <a:avLst/>
                    </a:prstGeom>
                  </pic:spPr>
                </pic:pic>
              </a:graphicData>
            </a:graphic>
          </wp:inline>
        </w:drawing>
      </w:r>
    </w:p>
    <w:p w14:paraId="15965D4D">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9F4"/>
    <w:rsid w:val="008819F4"/>
    <w:rsid w:val="00BC749A"/>
    <w:rsid w:val="00C0146D"/>
    <w:rsid w:val="626E0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0</Words>
  <Characters>0</Characters>
  <Lines>1</Lines>
  <Paragraphs>1</Paragraphs>
  <TotalTime>16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2026-09-27T16:22:00Z</dcterms:created>
  <dc:creator>Trieu Nhat</dc:creator>
  <cp:lastModifiedBy>nguye</cp:lastModifiedBy>
  <dcterms:modified xsi:type="dcterms:W3CDTF">2026-09-27T16:42:26Z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eyJoZGlkIjoiZjM4MGRjZjBiYWQ4NWM1MmZiMTA0YzM2NmJmZjlkZjkifQ==</vt:lpwstr>
  </property>
  <property fmtid="{D5CDD505-2E9C-101B-9397-08002B2CF9AE}" pid="3" name="KSOProductBuildVer">
    <vt:lpwstr>1066-12.1.0.28485</vt:lpwstr>
  </property>
  <property fmtid="{D5CDD505-2E9C-101B-9397-08002B2CF9AE}" pid="4" name="ICV">
    <vt:lpwstr>B124002732854419A178F55FF88F3CFA_12</vt:lpwstr>
  </property>
</Properties>
</file>