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707537" cy="83209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44"/>
          <w:szCs w:val="44"/>
          <w:rtl w:val="0"/>
        </w:rPr>
        <w:t xml:space="preserve">Report 5 – Software Test Documentation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 Chi Minh, August 2026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</w:p>
    <w:p w:rsidR="00000000" w:rsidDel="00000000" w:rsidP="00000000" w:rsidRDefault="00000000" w:rsidRPr="00000000" w14:paraId="0000001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Times New Roman" w:cs="Times New Roman" w:eastAsia="Times New Roman" w:hAnsi="Times New Roman"/>
          <w:b w:val="1"/>
          <w:bCs w:val="1"/>
          <w:color w:val="2e75b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5"/>
          <w:sz w:val="32"/>
          <w:szCs w:val="32"/>
          <w:rtl w:val="0"/>
        </w:rPr>
        <w:t xml:space="preserve">Table of Contents</w:t>
      </w:r>
    </w:p>
    <w:sdt>
      <w:sdtPr>
        <w:id w:val="15002190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nt8s6jwmnv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f5c6tew1lzkp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II. Testing Documentation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ycgpr47aebd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1. Scope of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ihp577xhwdh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2. Test Strategy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wyyfwqsxgg5h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2.1 Testing Types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ql185b480pic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2.2 Test Levels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7y89dm3ofwkv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2.3 Supporting Tools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ww9japez5y7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 Test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x493duabybmy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3.1 Human Resources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y8ltezr6ikq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3.2 Test Environment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jnimn2eqjb0y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3.3 Test Milestones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1ti10rzcjuz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4. Test Cases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hyperlink w:anchor="_heading=h.bughy83l7lo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5. Test Reports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knt8s6jwmnv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5"/>
        <w:gridCol w:w="625"/>
        <w:gridCol w:w="1234"/>
        <w:gridCol w:w="5770"/>
        <w:tblGridChange w:id="0">
          <w:tblGrid>
            <w:gridCol w:w="1175"/>
            <w:gridCol w:w="625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2026-08-15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Nguyen Huu Nhat Trieu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Initial creation of the Software Test Documentation.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2026-08-18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Vo Trong Nhan</w:t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Updated Test Environment and Test Milestones based on Project Plan.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f5c6tew1lzkp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II. Testing Documentation</w:t>
      </w:r>
    </w:p>
    <w:p w:rsidR="00000000" w:rsidDel="00000000" w:rsidP="00000000" w:rsidRDefault="00000000" w:rsidRPr="00000000" w14:paraId="0000006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ycgpr47aebdi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Scope of Testing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ihp577xhwdh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Target of Test: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 scope of testing for the Electronic Training Record (ETR) System encompasses all core modules critical to aviation compliance, including: User &amp; Role Management (RBAC), Learner &amp; Course Management, Attendance Recording, Assessment Grading, Evidence Verification (Maker-Checker rule), ETR Submission, and Manager Approval (Data Freeze). 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Functional Testing: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Verifying all business workflows, especially the state transitions of ETRs and evidence status.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Non-functional Testing: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Security testing (JWT, Role Isolation), and performance testing (response times under 3 seconds).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Exclusions: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Online learning delivery (LMS features), mobile application testing (as the system is web-only), and payment processing are out of scope.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Stages of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Unit Testing: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Focuses on core backend business logic 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ETR.Application.Tests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 and frontend components. Target: &gt;= 90% code coverage.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Integration Testing: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Verifies data flow between modules (e.g., Enrollment triggering auto ETR generation). Target: &gt;= 80% module integrations.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System Testing: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Validates end-to-end role-based workflows for Admin, Academic, Instructor, QA, Training Manager, and Auditor. Target: &gt;= 70% system functionality covered with &lt;= 10 major defects.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Acceptance Testing: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Final validation by stakeholders to ensure 100% of critical features work according to aviation rules.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Test Strategy</w:t>
      </w:r>
    </w:p>
    <w:p w:rsidR="00000000" w:rsidDel="00000000" w:rsidP="00000000" w:rsidRDefault="00000000" w:rsidRPr="00000000" w14:paraId="0000006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wyyfwqsxgg5h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Testing Types</w:t>
      </w:r>
    </w:p>
    <w:p w:rsidR="00000000" w:rsidDel="00000000" w:rsidP="00000000" w:rsidRDefault="00000000" w:rsidRPr="00000000" w14:paraId="0000006E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l185b480pic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 all features (CRUD, ETR workflow, Audit logs) operate according to the SRS.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Technique: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Black-box testing (Manual and Automated UI testing).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Completion Criteria: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critical functional test cases execute successfully without blocker defects.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&amp; Authorization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Validate Zero-Trust architecture and Role-Based Access Control (RBAC). Ensure Instructors cannot Verify Evidence, and Academic Staff cannot Approve ETRs.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Technique: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Cross-role access attempts and API endpoint manipulation.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Completion Criteria: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0 unauthorized access vulnerabilities found.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Integration 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Verify RESTful API communication between React frontend and ASP.NET Core backend, and database transactions.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Technique: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 Testing via Postman and Backend integration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Completion Criteria: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API endpoints return expected JSON structures and HTTP status codes (200, 400, 401, 403).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Test Levels</w:t>
      </w:r>
    </w:p>
    <w:tbl>
      <w:tblPr>
        <w:tblStyle w:val="Table2"/>
        <w:tblW w:w="8981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131"/>
        <w:gridCol w:w="1260"/>
        <w:gridCol w:w="1260"/>
        <w:gridCol w:w="1530"/>
        <w:gridCol w:w="1800"/>
        <w:tblGridChange w:id="0">
          <w:tblGrid>
            <w:gridCol w:w="3131"/>
            <w:gridCol w:w="1260"/>
            <w:gridCol w:w="1260"/>
            <w:gridCol w:w="1530"/>
            <w:gridCol w:w="1800"/>
          </w:tblGrid>
        </w:tblGridChange>
      </w:tblGrid>
      <w:tr>
        <w:trPr>
          <w:cantSplit w:val="1"/>
          <w:trHeight w:val="184" w:hRule="atLeast"/>
          <w:tblHeader w:val="1"/>
        </w:trPr>
        <w:tc>
          <w:tcPr>
            <w:vMerge w:val="restart"/>
            <w:shd w:fill="ffe8e1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Type of Tests</w:t>
            </w:r>
          </w:p>
        </w:tc>
        <w:tc>
          <w:tcPr>
            <w:gridSpan w:val="4"/>
            <w:shd w:fill="ffe8e1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Test Level</w:t>
            </w:r>
          </w:p>
        </w:tc>
      </w:tr>
      <w:tr>
        <w:trPr>
          <w:cantSplit w:val="1"/>
          <w:trHeight w:val="402" w:hRule="atLeast"/>
          <w:tblHeader w:val="1"/>
        </w:trPr>
        <w:tc>
          <w:tcPr>
            <w:vMerge w:val="continue"/>
            <w:shd w:fill="ffe8e1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Unit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Integration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System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Functional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Security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Integration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UI/UX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bookmarkStart w:colFirst="0" w:colLast="0" w:name="_heading=h.ltqdkw8q3yq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7y89dm3ofwkv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Supporting Tools</w:t>
      </w:r>
    </w:p>
    <w:tbl>
      <w:tblPr>
        <w:tblStyle w:val="Table3"/>
        <w:tblW w:w="8981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87"/>
        <w:gridCol w:w="1932"/>
        <w:gridCol w:w="2199"/>
        <w:gridCol w:w="1563"/>
        <w:tblGridChange w:id="0">
          <w:tblGrid>
            <w:gridCol w:w="3287"/>
            <w:gridCol w:w="1932"/>
            <w:gridCol w:w="2199"/>
            <w:gridCol w:w="1563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9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Purpose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Tool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Vendor/In-house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9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6e2500"/>
                <w:sz w:val="18"/>
                <w:szCs w:val="18"/>
                <w:rtl w:val="0"/>
              </w:rPr>
              <w:t xml:space="preserve">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Frontend Unit Testing</w:t>
            </w:r>
          </w:p>
        </w:tc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Vitest</w:t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Open Source</w:t>
            </w:r>
          </w:p>
        </w:tc>
        <w:tc>
          <w:tcPr/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2.0.0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Backend Unit Testing</w:t>
            </w:r>
          </w:p>
        </w:tc>
        <w:tc>
          <w:tcPr/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xUnit / Moq</w:t>
            </w:r>
          </w:p>
        </w:tc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Microsoft / Open Source</w:t>
            </w:r>
          </w:p>
        </w:tc>
        <w:tc>
          <w:tcPr/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v2.x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API Testing</w:t>
            </w:r>
          </w:p>
        </w:tc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Postman</w:t>
            </w:r>
          </w:p>
        </w:tc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Postman Inc.</w:t>
            </w:r>
          </w:p>
        </w:tc>
        <w:tc>
          <w:tcPr/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v10.x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End-to-End (E2E) Testing</w:t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Playwright/Cypress</w:t>
            </w:r>
          </w:p>
        </w:tc>
        <w:tc>
          <w:tcPr/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Open Source</w:t>
            </w:r>
          </w:p>
        </w:tc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Latest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Defect Tracking</w:t>
            </w:r>
          </w:p>
        </w:tc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Zalo / GitHub Issues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Zalo / GitHub</w:t>
            </w:r>
          </w:p>
        </w:tc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ind w:left="43" w:firstLine="0"/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8"/>
                <w:szCs w:val="18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ww9japez5y7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Test Plan</w:t>
      </w:r>
    </w:p>
    <w:p w:rsidR="00000000" w:rsidDel="00000000" w:rsidP="00000000" w:rsidRDefault="00000000" w:rsidRPr="00000000" w14:paraId="000000B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x493duabybmy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Human Resources</w:t>
      </w:r>
    </w:p>
    <w:tbl>
      <w:tblPr>
        <w:tblStyle w:val="Table4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286"/>
        <w:gridCol w:w="5818"/>
        <w:tblGridChange w:id="0">
          <w:tblGrid>
            <w:gridCol w:w="1826"/>
            <w:gridCol w:w="1286"/>
            <w:gridCol w:w="5818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Worker/Doer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Specific Responsibilities/Comments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Nguyen Huu Nhat Trieu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 Test Plan, monitor test progress, and facilitate UAT with stakeholders.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 Trong 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Write and execute manual test cases, UI testing, and log defects.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Doan Trong Khoi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and execute Backend Unit tests and API Integration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 Trong 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E2E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Setup E2E testing environment, execute System Tests covering full ETR lifecycle.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y8ltezr6ikqq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Test Environment</w:t>
      </w:r>
    </w:p>
    <w:tbl>
      <w:tblPr>
        <w:tblStyle w:val="Table5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88"/>
        <w:gridCol w:w="2970"/>
        <w:gridCol w:w="1800"/>
        <w:gridCol w:w="1872"/>
        <w:tblGridChange w:id="0">
          <w:tblGrid>
            <w:gridCol w:w="2288"/>
            <w:gridCol w:w="2970"/>
            <w:gridCol w:w="1800"/>
            <w:gridCol w:w="1872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Tool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Provider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Frontend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Azure App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Microsoft Azure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.NET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Azure SQL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Microsoft Azure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SQL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Client Browsers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Chrome, Edge, Firefox, Safari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Various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Evergreen (Latest)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jnimn2eqjb0y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3.3 Test Milestones</w:t>
      </w:r>
    </w:p>
    <w:tbl>
      <w:tblPr>
        <w:tblStyle w:val="Table6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35"/>
        <w:gridCol w:w="1278"/>
        <w:gridCol w:w="1417"/>
        <w:tblGridChange w:id="0">
          <w:tblGrid>
            <w:gridCol w:w="6235"/>
            <w:gridCol w:w="1278"/>
            <w:gridCol w:w="1417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Milestone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Start 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End Date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 &amp; Environment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Unit &amp; API 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Testing (E2E workflows)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Acceptance Testing (UAT) &amp; Bug Fixing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Test Report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1ti10rzcjuz8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Test Cases</w:t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ughy83l7lo4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detailed test scenarios, test steps, inputs, and expected results are documented in external files: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 Test Cases: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Report5_Unit_Test.xls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(Focusing on ETR Auto-generation, Score calculation, and RBAC policies).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&amp; Integration Test Cases: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Report5_Test_Report.xls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(Focusing on workflows such as Evidence Verification by QA and ETR Deep Freeze by Manager).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Test Reports</w:t>
      </w:r>
    </w:p>
    <w:p w:rsidR="00000000" w:rsidDel="00000000" w:rsidP="00000000" w:rsidRDefault="00000000" w:rsidRPr="00000000" w14:paraId="000000F5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project objectives outlined in the Project Management Plan: 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 Testing: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Achieved &gt;= 90% code coverage. Total major defects found: [X] (Target: &lt;= 5). Defect rate: &lt; 2%.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Integration Testing: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Achieved &gt;= 80% module integration. Total major defects found: [X] (Target: &lt;= 10). Defect rate: &lt; 4%.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&amp; UAT: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100% of critical features (Login, ETR Submit, Approve, Export) successfully validated against business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B056F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E0C5F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E0C5F"/>
    <w:rPr>
      <w:rFonts w:asciiTheme="majorHAnsi" w:cstheme="majorBidi" w:eastAsiaTheme="majorEastAsia" w:hAnsiTheme="majorHAnsi"/>
      <w:b w:val="1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4174CC"/>
    <w:pPr>
      <w:keepNext w:val="0"/>
      <w:keepLines w:val="0"/>
      <w:autoSpaceDE w:val="0"/>
      <w:autoSpaceDN w:val="0"/>
      <w:spacing w:after="80" w:before="80" w:line="240" w:lineRule="auto"/>
      <w:jc w:val="center"/>
      <w:outlineLvl w:val="9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F26556"/>
    <w:rPr>
      <w:rFonts w:asciiTheme="majorHAnsi" w:cstheme="majorBidi" w:eastAsiaTheme="majorEastAsia" w:hAnsiTheme="majorHAnsi"/>
      <w:b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1F1E4B"/>
    <w:rPr>
      <w:rFonts w:cs="Times New Roman (Headings CS)" w:asciiTheme="majorHAnsi" w:eastAsiaTheme="majorEastAsia" w:hAnsiTheme="majorHAnsi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1719F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1719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41719F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D23370"/>
    <w:pPr>
      <w:spacing w:after="80" w:before="80" w:line="240" w:lineRule="auto"/>
      <w:ind w:left="43"/>
    </w:pPr>
    <w:rPr>
      <w:rFonts w:ascii="Tahoma" w:cs="Tahoma" w:eastAsia="MS Mincho" w:hAnsi="Tahoma"/>
      <w:snapToGrid w:val="0"/>
      <w:sz w:val="18"/>
      <w:szCs w:val="20"/>
      <w:lang w:val="en-US"/>
    </w:rPr>
  </w:style>
  <w:style w:type="paragraph" w:styleId="HeadingLv1" w:customStyle="1">
    <w:name w:val="Heading Lv1"/>
    <w:basedOn w:val="Normal"/>
    <w:autoRedefine w:val="1"/>
    <w:rsid w:val="00013980"/>
    <w:pPr>
      <w:widowControl w:val="0"/>
      <w:spacing w:after="0" w:before="120" w:line="240" w:lineRule="auto"/>
      <w:jc w:val="center"/>
    </w:pPr>
    <w:rPr>
      <w:rFonts w:ascii="Tahoma" w:cs="Tahoma" w:eastAsia="MS Mincho" w:hAnsi="Tahoma"/>
      <w:b w:val="1"/>
      <w:snapToGrid w:val="0"/>
      <w:color w:val="6e2500"/>
      <w:sz w:val="18"/>
      <w:szCs w:val="20"/>
      <w:lang w:val="en-US"/>
    </w:rPr>
  </w:style>
  <w:style w:type="paragraph" w:styleId="bodytext" w:customStyle="1">
    <w:name w:val="bodytext"/>
    <w:basedOn w:val="Normal"/>
    <w:autoRedefine w:val="1"/>
    <w:rsid w:val="00E90B49"/>
    <w:pPr>
      <w:spacing w:after="120" w:before="120" w:line="220" w:lineRule="atLeast"/>
      <w:ind w:left="180"/>
    </w:pPr>
    <w:rPr>
      <w:rFonts w:ascii="Tahoma" w:cs="Tahoma" w:eastAsia="MS Mincho" w:hAnsi="Tahoma"/>
      <w:b w:val="1"/>
      <w:sz w:val="18"/>
      <w:szCs w:val="24"/>
    </w:rPr>
  </w:style>
  <w:style w:type="character" w:styleId="atitle21" w:customStyle="1">
    <w:name w:val="atitle21"/>
    <w:basedOn w:val="DefaultParagraphFont"/>
    <w:rsid w:val="004F5652"/>
    <w:rPr>
      <w:rFonts w:ascii="Arial" w:cs="Arial" w:hAnsi="Arial" w:hint="default"/>
      <w:b w:val="1"/>
      <w:bCs w:val="1"/>
      <w:sz w:val="35"/>
      <w:szCs w:val="35"/>
    </w:rPr>
  </w:style>
  <w:style w:type="paragraph" w:styleId="NormalWeb">
    <w:name w:val="Normal (Web)"/>
    <w:basedOn w:val="Normal"/>
    <w:uiPriority w:val="99"/>
    <w:semiHidden w:val="1"/>
    <w:unhideWhenUsed w:val="1"/>
    <w:rsid w:val="00770A8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 w:val="1"/>
    <w:unhideWhenUsed w:val="1"/>
    <w:rsid w:val="00770A80"/>
    <w:rPr>
      <w:rFonts w:ascii="Courier New" w:cs="Courier New" w:eastAsia="Times New Roman" w:hAnsi="Courier New"/>
      <w:sz w:val="20"/>
      <w:szCs w:val="20"/>
    </w:rPr>
  </w:style>
  <w:style w:type="table" w:styleId="a" w:customStyle="1">
    <w:basedOn w:val="TableNormal"/>
    <w:tblPr>
      <w:tblStyleRowBandSize w:val="1"/>
      <w:tblStyleColBandSize w:val="1"/>
      <w:tblCellMar>
        <w:left w:w="80.0" w:type="dxa"/>
        <w:right w:w="8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8QYWPV0B51eMvjIlxH2woCF0GQ==">CgMxLjAyDmgua250OHM2andtbnYzMg5oLmY1YzZ0ZXcxbHprcDIOaC55Y2dwcjQ3YWViZGkyDmguaWhwNTc3eGh3ZGgzMg5oLnd5eWZ3cXN4Z2c1aDIOaC5xbDE4NWI0ODBwaWMyDmgubHRxZGt3OHEzeXFzMg5oLjd5ODlkbTNvZndrdjINaC53dzlqYXBlejV5NzIOaC54NDkzZHVhYnlibXkyDmgueThsdGV6cjZpa3FxMg5oLmpuaW1uMmVxamIweTIOaC4xdGkxMHJ6Y2p1ejgyDmguYnVnaHk4M2w3bG80OAByITE4NDg3OWN1SklPTUlKQ00wbmNEUGpqTjhCb0o1NTRf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