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027371">
      <w:pPr>
        <w:pStyle w:val="2"/>
        <w:bidi w:val="0"/>
        <w:jc w:val="center"/>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pPr>
      <w:bookmarkStart w:id="0" w:name="_Toc29138"/>
      <w:bookmarkStart w:id="1" w:name="_Toc2111"/>
      <w:bookmarkStart w:id="2" w:name="_Toc12718"/>
      <w:r>
        <w:rPr>
          <w:rStyle w:val="44"/>
          <w:rFonts w:hint="default" w:ascii="Times New Roman" w:hAnsi="Times New Roman" w:eastAsia="sans-serif" w:cs="Times New Roman"/>
          <w:b/>
          <w:bCs/>
          <w:i w:val="0"/>
          <w:iCs w:val="0"/>
          <w:color w:val="000000" w:themeColor="text1"/>
          <w:sz w:val="30"/>
          <w:szCs w:val="30"/>
          <w:lang w:val="en-US"/>
          <w14:textFill>
            <w14:solidFill>
              <w14:schemeClr w14:val="tx1"/>
            </w14:solidFill>
          </w14:textFill>
        </w:rPr>
        <w:t>CHƯƠNG 4: XÂY DỰNG MÔ HÌNH MLP</w:t>
      </w:r>
      <w:bookmarkEnd w:id="0"/>
      <w:bookmarkEnd w:id="1"/>
      <w:bookmarkEnd w:id="2"/>
      <w:bookmarkStart w:id="54" w:name="_GoBack"/>
      <w:bookmarkEnd w:id="54"/>
    </w:p>
    <w:p w14:paraId="2DCAC263">
      <w:pPr>
        <w:pStyle w:val="3"/>
        <w:spacing w:before="240" w:after="120"/>
        <w:rPr>
          <w:rFonts w:hint="default" w:ascii="Times New Roman" w:hAnsi="Times New Roman" w:cs="Times New Roman"/>
          <w:b/>
          <w:bCs/>
          <w:i w:val="0"/>
          <w:iCs w:val="0"/>
          <w:color w:val="000000" w:themeColor="text1"/>
          <w:sz w:val="26"/>
          <w:szCs w:val="26"/>
          <w14:textFill>
            <w14:solidFill>
              <w14:schemeClr w14:val="tx1"/>
            </w14:solidFill>
          </w14:textFill>
        </w:rPr>
      </w:pPr>
      <w:bookmarkStart w:id="3" w:name="_Toc12497"/>
      <w:bookmarkStart w:id="4" w:name="_Toc15513"/>
      <w:bookmarkStart w:id="5" w:name="_Toc25090"/>
      <w:bookmarkStart w:id="6" w:name="_Toc23239"/>
      <w:bookmarkStart w:id="7" w:name="_Toc6684"/>
      <w:bookmarkStart w:id="8" w:name="_Toc15166"/>
      <w:bookmarkStart w:id="9" w:name="_Toc673"/>
      <w:bookmarkStart w:id="10" w:name="_Toc18684"/>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.1. Lựa chọn kỹ thuật mô hình</w:t>
      </w:r>
      <w:bookmarkEnd w:id="3"/>
      <w:bookmarkEnd w:id="4"/>
      <w:bookmarkEnd w:id="5"/>
      <w:bookmarkEnd w:id="6"/>
      <w:bookmarkEnd w:id="7"/>
      <w:bookmarkEnd w:id="8"/>
      <w:bookmarkEnd w:id="9"/>
      <w:bookmarkEnd w:id="10"/>
    </w:p>
    <w:p w14:paraId="5275CC9E">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được lựa chọn là mạng nơ-ron nhân tạo nhiều lớp (Multi-Layer Perceptron – MLP) cài đặt bằng PyTorch, phù hợp với bài toán hồi quy trên dữ liệu dạng bảng đã được mã hóa số hóa đầy đủ.</w:t>
      </w:r>
    </w:p>
    <w:p w14:paraId="1121AEE9">
      <w:pPr>
        <w:pStyle w:val="3"/>
        <w:spacing w:before="240" w:after="120"/>
        <w:rPr>
          <w:rFonts w:hint="default" w:ascii="Times New Roman" w:hAnsi="Times New Roman" w:cs="Times New Roman"/>
          <w:b/>
          <w:bCs/>
          <w:i w:val="0"/>
          <w:iCs w:val="0"/>
          <w:color w:val="000000" w:themeColor="text1"/>
          <w:sz w:val="26"/>
          <w:szCs w:val="26"/>
          <w14:textFill>
            <w14:solidFill>
              <w14:schemeClr w14:val="tx1"/>
            </w14:solidFill>
          </w14:textFill>
        </w:rPr>
      </w:pPr>
      <w:bookmarkStart w:id="11" w:name="_Toc19744"/>
      <w:bookmarkStart w:id="12" w:name="_Toc20641"/>
      <w:bookmarkStart w:id="13" w:name="_Toc15325"/>
      <w:bookmarkStart w:id="14" w:name="_Toc24477"/>
      <w:bookmarkStart w:id="15" w:name="_Toc19103"/>
      <w:bookmarkStart w:id="16" w:name="_Toc1234"/>
      <w:bookmarkStart w:id="17" w:name="_Toc6919"/>
      <w:bookmarkStart w:id="18" w:name="_Toc22113"/>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.2. Kiến trúc mô hình</w:t>
      </w:r>
      <w:bookmarkEnd w:id="11"/>
      <w:bookmarkEnd w:id="12"/>
      <w:bookmarkEnd w:id="13"/>
      <w:bookmarkEnd w:id="14"/>
      <w:bookmarkEnd w:id="15"/>
      <w:bookmarkEnd w:id="16"/>
      <w:bookmarkEnd w:id="17"/>
      <w:bookmarkEnd w:id="18"/>
    </w:p>
    <w:p w14:paraId="6D0E3306">
      <w:r>
        <w:drawing>
          <wp:inline distT="0" distB="0" distL="114300" distR="114300">
            <wp:extent cx="4891405" cy="4519930"/>
            <wp:effectExtent l="0" t="0" r="4445" b="4445"/>
            <wp:docPr id="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8"/>
                    <pic:cNvPicPr>
                      <a:picLocks noChangeAspect="1"/>
                    </pic:cNvPicPr>
                  </pic:nvPicPr>
                  <pic:blipFill>
                    <a:blip r:embed="rId5"/>
                    <a:stretch>
                      <a:fillRect/>
                    </a:stretch>
                  </pic:blipFill>
                  <pic:spPr>
                    <a:xfrm>
                      <a:off x="0" y="0"/>
                      <a:ext cx="4891405" cy="4519930"/>
                    </a:xfrm>
                    <a:prstGeom prst="rect">
                      <a:avLst/>
                    </a:prstGeom>
                    <a:noFill/>
                    <a:ln>
                      <a:noFill/>
                    </a:ln>
                  </pic:spPr>
                </pic:pic>
              </a:graphicData>
            </a:graphic>
          </wp:inline>
        </w:drawing>
      </w:r>
    </w:p>
    <w:p w14:paraId="0DFDCC91">
      <w:pPr>
        <w:rPr>
          <w:rFonts w:hint="default"/>
        </w:rPr>
      </w:pPr>
    </w:p>
    <w:tbl>
      <w:tblPr>
        <w:tblStyle w:val="12"/>
        <w:tblW w:w="9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400"/>
        <w:gridCol w:w="2600"/>
        <w:gridCol w:w="3400"/>
      </w:tblGrid>
      <w:tr w14:paraId="38A0E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E7E6E6" w:themeFill="background2"/>
            <w:tcMar>
              <w:top w:w="60" w:type="dxa"/>
              <w:left w:w="100" w:type="dxa"/>
              <w:bottom w:w="60" w:type="dxa"/>
              <w:right w:w="100" w:type="dxa"/>
            </w:tcMar>
            <w:vAlign w:val="center"/>
          </w:tcPr>
          <w:p w14:paraId="07E8D891">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Lớp</w:t>
            </w:r>
          </w:p>
        </w:tc>
        <w:tc>
          <w:tcPr>
            <w:tcW w:w="2600" w:type="dxa"/>
            <w:shd w:val="clear" w:color="auto" w:fill="E7E6E6" w:themeFill="background2"/>
            <w:tcMar>
              <w:top w:w="60" w:type="dxa"/>
              <w:left w:w="100" w:type="dxa"/>
              <w:bottom w:w="60" w:type="dxa"/>
              <w:right w:w="100" w:type="dxa"/>
            </w:tcMar>
            <w:vAlign w:val="center"/>
          </w:tcPr>
          <w:p w14:paraId="0B6BF979">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Kích thước</w:t>
            </w:r>
          </w:p>
        </w:tc>
        <w:tc>
          <w:tcPr>
            <w:tcW w:w="3400" w:type="dxa"/>
            <w:shd w:val="clear" w:color="auto" w:fill="E7E6E6" w:themeFill="background2"/>
            <w:tcMar>
              <w:top w:w="60" w:type="dxa"/>
              <w:left w:w="100" w:type="dxa"/>
              <w:bottom w:w="60" w:type="dxa"/>
              <w:right w:w="100" w:type="dxa"/>
            </w:tcMar>
            <w:vAlign w:val="center"/>
          </w:tcPr>
          <w:p w14:paraId="55FCE5AC">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Ghi chú</w:t>
            </w:r>
          </w:p>
        </w:tc>
      </w:tr>
      <w:tr w14:paraId="388AA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28950FE9">
            <w:pPr>
              <w:rPr>
                <w:i w:val="0"/>
                <w:iCs w:val="0"/>
              </w:rPr>
            </w:pPr>
            <w:r>
              <w:rPr>
                <w:b w:val="0"/>
                <w:bCs w:val="0"/>
                <w:i w:val="0"/>
                <w:iCs w:val="0"/>
                <w:color w:val="000000"/>
                <w:sz w:val="20"/>
                <w:szCs w:val="20"/>
              </w:rPr>
              <w:t>Input</w:t>
            </w:r>
          </w:p>
        </w:tc>
        <w:tc>
          <w:tcPr>
            <w:tcW w:w="2600" w:type="dxa"/>
            <w:shd w:val="clear" w:color="auto" w:fill="FFFFFF" w:themeFill="background1"/>
            <w:tcMar>
              <w:top w:w="60" w:type="dxa"/>
              <w:left w:w="100" w:type="dxa"/>
              <w:bottom w:w="60" w:type="dxa"/>
              <w:right w:w="100" w:type="dxa"/>
            </w:tcMar>
            <w:vAlign w:val="center"/>
          </w:tcPr>
          <w:p w14:paraId="1BD8C43D">
            <w:pPr>
              <w:rPr>
                <w:i w:val="0"/>
                <w:iCs w:val="0"/>
              </w:rPr>
            </w:pPr>
            <w:r>
              <w:rPr>
                <w:b w:val="0"/>
                <w:bCs w:val="0"/>
                <w:i w:val="0"/>
                <w:iCs w:val="0"/>
                <w:color w:val="000000"/>
                <w:sz w:val="20"/>
                <w:szCs w:val="20"/>
              </w:rPr>
              <w:t>300</w:t>
            </w:r>
          </w:p>
        </w:tc>
        <w:tc>
          <w:tcPr>
            <w:tcW w:w="3400" w:type="dxa"/>
            <w:shd w:val="clear" w:color="auto" w:fill="FFFFFF" w:themeFill="background1"/>
            <w:tcMar>
              <w:top w:w="60" w:type="dxa"/>
              <w:left w:w="100" w:type="dxa"/>
              <w:bottom w:w="60" w:type="dxa"/>
              <w:right w:w="100" w:type="dxa"/>
            </w:tcMar>
            <w:vAlign w:val="center"/>
          </w:tcPr>
          <w:p w14:paraId="18D7B849">
            <w:pPr>
              <w:rPr>
                <w:i w:val="0"/>
                <w:iCs w:val="0"/>
              </w:rPr>
            </w:pPr>
            <w:r>
              <w:rPr>
                <w:b w:val="0"/>
                <w:bCs w:val="0"/>
                <w:i w:val="0"/>
                <w:iCs w:val="0"/>
                <w:color w:val="000000"/>
                <w:sz w:val="20"/>
                <w:szCs w:val="20"/>
              </w:rPr>
              <w:t>Số đặc trưng sau tiền xử lý</w:t>
            </w:r>
          </w:p>
        </w:tc>
      </w:tr>
      <w:tr w14:paraId="1E532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6B06B908">
            <w:pPr>
              <w:rPr>
                <w:i w:val="0"/>
                <w:iCs w:val="0"/>
              </w:rPr>
            </w:pPr>
            <w:r>
              <w:rPr>
                <w:b w:val="0"/>
                <w:bCs w:val="0"/>
                <w:i w:val="0"/>
                <w:iCs w:val="0"/>
                <w:color w:val="000000"/>
                <w:sz w:val="20"/>
                <w:szCs w:val="20"/>
              </w:rPr>
              <w:t>Linear + ReLU + Dropout</w:t>
            </w:r>
          </w:p>
        </w:tc>
        <w:tc>
          <w:tcPr>
            <w:tcW w:w="2600" w:type="dxa"/>
            <w:shd w:val="clear" w:color="auto" w:fill="FFFFFF" w:themeFill="background1"/>
            <w:tcMar>
              <w:top w:w="60" w:type="dxa"/>
              <w:left w:w="100" w:type="dxa"/>
              <w:bottom w:w="60" w:type="dxa"/>
              <w:right w:w="100" w:type="dxa"/>
            </w:tcMar>
            <w:vAlign w:val="center"/>
          </w:tcPr>
          <w:p w14:paraId="7F08AC6A">
            <w:pPr>
              <w:rPr>
                <w:i w:val="0"/>
                <w:iCs w:val="0"/>
              </w:rPr>
            </w:pPr>
            <w:r>
              <w:rPr>
                <w:b w:val="0"/>
                <w:bCs w:val="0"/>
                <w:i w:val="0"/>
                <w:iCs w:val="0"/>
                <w:color w:val="000000"/>
                <w:sz w:val="20"/>
                <w:szCs w:val="20"/>
              </w:rPr>
              <w:t>256</w:t>
            </w:r>
          </w:p>
        </w:tc>
        <w:tc>
          <w:tcPr>
            <w:tcW w:w="3400" w:type="dxa"/>
            <w:shd w:val="clear" w:color="auto" w:fill="FFFFFF" w:themeFill="background1"/>
            <w:tcMar>
              <w:top w:w="60" w:type="dxa"/>
              <w:left w:w="100" w:type="dxa"/>
              <w:bottom w:w="60" w:type="dxa"/>
              <w:right w:w="100" w:type="dxa"/>
            </w:tcMar>
            <w:vAlign w:val="center"/>
          </w:tcPr>
          <w:p w14:paraId="6072D662">
            <w:pPr>
              <w:rPr>
                <w:i w:val="0"/>
                <w:iCs w:val="0"/>
              </w:rPr>
            </w:pPr>
            <w:r>
              <w:rPr>
                <w:b w:val="0"/>
                <w:bCs w:val="0"/>
                <w:i w:val="0"/>
                <w:iCs w:val="0"/>
                <w:color w:val="000000"/>
                <w:sz w:val="20"/>
                <w:szCs w:val="20"/>
              </w:rPr>
              <w:t>Dropout = 0,2</w:t>
            </w:r>
          </w:p>
        </w:tc>
      </w:tr>
      <w:tr w14:paraId="2BABE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5002FC92">
            <w:pPr>
              <w:rPr>
                <w:i w:val="0"/>
                <w:iCs w:val="0"/>
              </w:rPr>
            </w:pPr>
            <w:r>
              <w:rPr>
                <w:b w:val="0"/>
                <w:bCs w:val="0"/>
                <w:i w:val="0"/>
                <w:iCs w:val="0"/>
                <w:color w:val="000000"/>
                <w:sz w:val="20"/>
                <w:szCs w:val="20"/>
              </w:rPr>
              <w:t>Linear + ReLU + Dropout</w:t>
            </w:r>
          </w:p>
        </w:tc>
        <w:tc>
          <w:tcPr>
            <w:tcW w:w="2600" w:type="dxa"/>
            <w:shd w:val="clear" w:color="auto" w:fill="FFFFFF" w:themeFill="background1"/>
            <w:tcMar>
              <w:top w:w="60" w:type="dxa"/>
              <w:left w:w="100" w:type="dxa"/>
              <w:bottom w:w="60" w:type="dxa"/>
              <w:right w:w="100" w:type="dxa"/>
            </w:tcMar>
            <w:vAlign w:val="center"/>
          </w:tcPr>
          <w:p w14:paraId="3DA532EF">
            <w:pPr>
              <w:rPr>
                <w:i w:val="0"/>
                <w:iCs w:val="0"/>
              </w:rPr>
            </w:pPr>
            <w:r>
              <w:rPr>
                <w:b w:val="0"/>
                <w:bCs w:val="0"/>
                <w:i w:val="0"/>
                <w:iCs w:val="0"/>
                <w:color w:val="000000"/>
                <w:sz w:val="20"/>
                <w:szCs w:val="20"/>
              </w:rPr>
              <w:t>128</w:t>
            </w:r>
          </w:p>
        </w:tc>
        <w:tc>
          <w:tcPr>
            <w:tcW w:w="3400" w:type="dxa"/>
            <w:shd w:val="clear" w:color="auto" w:fill="FFFFFF" w:themeFill="background1"/>
            <w:tcMar>
              <w:top w:w="60" w:type="dxa"/>
              <w:left w:w="100" w:type="dxa"/>
              <w:bottom w:w="60" w:type="dxa"/>
              <w:right w:w="100" w:type="dxa"/>
            </w:tcMar>
            <w:vAlign w:val="center"/>
          </w:tcPr>
          <w:p w14:paraId="09DA54A9">
            <w:pPr>
              <w:rPr>
                <w:i w:val="0"/>
                <w:iCs w:val="0"/>
              </w:rPr>
            </w:pPr>
            <w:r>
              <w:rPr>
                <w:b w:val="0"/>
                <w:bCs w:val="0"/>
                <w:i w:val="0"/>
                <w:iCs w:val="0"/>
                <w:color w:val="000000"/>
                <w:sz w:val="20"/>
                <w:szCs w:val="20"/>
              </w:rPr>
              <w:t>Dropout = 0,2</w:t>
            </w:r>
          </w:p>
        </w:tc>
      </w:tr>
      <w:tr w14:paraId="57E24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04408345">
            <w:pPr>
              <w:rPr>
                <w:i w:val="0"/>
                <w:iCs w:val="0"/>
              </w:rPr>
            </w:pPr>
            <w:r>
              <w:rPr>
                <w:b w:val="0"/>
                <w:bCs w:val="0"/>
                <w:i w:val="0"/>
                <w:iCs w:val="0"/>
                <w:color w:val="000000"/>
                <w:sz w:val="20"/>
                <w:szCs w:val="20"/>
              </w:rPr>
              <w:t>Linear + ReLU</w:t>
            </w:r>
          </w:p>
        </w:tc>
        <w:tc>
          <w:tcPr>
            <w:tcW w:w="2600" w:type="dxa"/>
            <w:shd w:val="clear" w:color="auto" w:fill="FFFFFF" w:themeFill="background1"/>
            <w:tcMar>
              <w:top w:w="60" w:type="dxa"/>
              <w:left w:w="100" w:type="dxa"/>
              <w:bottom w:w="60" w:type="dxa"/>
              <w:right w:w="100" w:type="dxa"/>
            </w:tcMar>
            <w:vAlign w:val="center"/>
          </w:tcPr>
          <w:p w14:paraId="0072B11D">
            <w:pPr>
              <w:rPr>
                <w:i w:val="0"/>
                <w:iCs w:val="0"/>
              </w:rPr>
            </w:pPr>
            <w:r>
              <w:rPr>
                <w:b w:val="0"/>
                <w:bCs w:val="0"/>
                <w:i w:val="0"/>
                <w:iCs w:val="0"/>
                <w:color w:val="000000"/>
                <w:sz w:val="20"/>
                <w:szCs w:val="20"/>
              </w:rPr>
              <w:t>64</w:t>
            </w:r>
          </w:p>
        </w:tc>
        <w:tc>
          <w:tcPr>
            <w:tcW w:w="3400" w:type="dxa"/>
            <w:shd w:val="clear" w:color="auto" w:fill="FFFFFF" w:themeFill="background1"/>
            <w:tcMar>
              <w:top w:w="60" w:type="dxa"/>
              <w:left w:w="100" w:type="dxa"/>
              <w:bottom w:w="60" w:type="dxa"/>
              <w:right w:w="100" w:type="dxa"/>
            </w:tcMar>
            <w:vAlign w:val="center"/>
          </w:tcPr>
          <w:p w14:paraId="34E9BB33">
            <w:pPr>
              <w:rPr>
                <w:i w:val="0"/>
                <w:iCs w:val="0"/>
              </w:rPr>
            </w:pPr>
          </w:p>
        </w:tc>
      </w:tr>
      <w:tr w14:paraId="05995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400" w:type="dxa"/>
            <w:shd w:val="clear" w:color="auto" w:fill="FFFFFF" w:themeFill="background1"/>
            <w:tcMar>
              <w:top w:w="60" w:type="dxa"/>
              <w:left w:w="100" w:type="dxa"/>
              <w:bottom w:w="60" w:type="dxa"/>
              <w:right w:w="100" w:type="dxa"/>
            </w:tcMar>
            <w:vAlign w:val="center"/>
          </w:tcPr>
          <w:p w14:paraId="4ACA8EE3">
            <w:pPr>
              <w:rPr>
                <w:i w:val="0"/>
                <w:iCs w:val="0"/>
              </w:rPr>
            </w:pPr>
            <w:r>
              <w:rPr>
                <w:b w:val="0"/>
                <w:bCs w:val="0"/>
                <w:i w:val="0"/>
                <w:iCs w:val="0"/>
                <w:color w:val="000000"/>
                <w:sz w:val="20"/>
                <w:szCs w:val="20"/>
              </w:rPr>
              <w:t>Linear (Output)</w:t>
            </w:r>
          </w:p>
        </w:tc>
        <w:tc>
          <w:tcPr>
            <w:tcW w:w="2600" w:type="dxa"/>
            <w:shd w:val="clear" w:color="auto" w:fill="FFFFFF" w:themeFill="background1"/>
            <w:tcMar>
              <w:top w:w="60" w:type="dxa"/>
              <w:left w:w="100" w:type="dxa"/>
              <w:bottom w:w="60" w:type="dxa"/>
              <w:right w:w="100" w:type="dxa"/>
            </w:tcMar>
            <w:vAlign w:val="center"/>
          </w:tcPr>
          <w:p w14:paraId="4545318E">
            <w:pPr>
              <w:rPr>
                <w:i w:val="0"/>
                <w:iCs w:val="0"/>
              </w:rPr>
            </w:pPr>
            <w:r>
              <w:rPr>
                <w:b w:val="0"/>
                <w:bCs w:val="0"/>
                <w:i w:val="0"/>
                <w:iCs w:val="0"/>
                <w:color w:val="000000"/>
                <w:sz w:val="20"/>
                <w:szCs w:val="20"/>
              </w:rPr>
              <w:t>1</w:t>
            </w:r>
          </w:p>
        </w:tc>
        <w:tc>
          <w:tcPr>
            <w:tcW w:w="3400" w:type="dxa"/>
            <w:shd w:val="clear" w:color="auto" w:fill="FFFFFF" w:themeFill="background1"/>
            <w:tcMar>
              <w:top w:w="60" w:type="dxa"/>
              <w:left w:w="100" w:type="dxa"/>
              <w:bottom w:w="60" w:type="dxa"/>
              <w:right w:w="100" w:type="dxa"/>
            </w:tcMar>
            <w:vAlign w:val="center"/>
          </w:tcPr>
          <w:p w14:paraId="18CA2E35">
            <w:pPr>
              <w:rPr>
                <w:i w:val="0"/>
                <w:iCs w:val="0"/>
              </w:rPr>
            </w:pPr>
            <w:r>
              <w:rPr>
                <w:b w:val="0"/>
                <w:bCs w:val="0"/>
                <w:i w:val="0"/>
                <w:iCs w:val="0"/>
                <w:color w:val="000000"/>
                <w:sz w:val="20"/>
                <w:szCs w:val="20"/>
              </w:rPr>
              <w:t>Dự đoán log(SalePrice)</w:t>
            </w:r>
          </w:p>
        </w:tc>
      </w:tr>
    </w:tbl>
    <w:p w14:paraId="11CBA724">
      <w:pPr>
        <w:rPr>
          <w:rFonts w:hint="default"/>
          <w:i w:val="0"/>
          <w:iCs w:val="0"/>
        </w:rPr>
      </w:pPr>
    </w:p>
    <w:p w14:paraId="5F6DC557">
      <w:pPr>
        <w:spacing w:after="140" w:line="300" w:lineRule="auto"/>
        <w:rPr>
          <w:i w:val="0"/>
          <w:iCs w:val="0"/>
        </w:rPr>
      </w:pPr>
      <w:r>
        <w:rPr>
          <w:i w:val="0"/>
          <w:iCs w:val="0"/>
          <w:sz w:val="22"/>
          <w:szCs w:val="22"/>
        </w:rPr>
        <w:t>Tổng số tham số có thể huấn luyện: 118.273.</w:t>
      </w:r>
    </w:p>
    <w:p w14:paraId="71FAA326">
      <w:pPr>
        <w:pStyle w:val="3"/>
        <w:spacing w:before="240" w:after="120"/>
        <w:rPr>
          <w:rFonts w:hint="default" w:ascii="Times New Roman" w:hAnsi="Times New Roman" w:cs="Times New Roman"/>
          <w:b/>
          <w:bCs/>
          <w:i w:val="0"/>
          <w:iCs w:val="0"/>
          <w:color w:val="000000" w:themeColor="text1"/>
          <w:sz w:val="26"/>
          <w:szCs w:val="26"/>
          <w14:textFill>
            <w14:solidFill>
              <w14:schemeClr w14:val="tx1"/>
            </w14:solidFill>
          </w14:textFill>
        </w:rPr>
      </w:pPr>
      <w:bookmarkStart w:id="19" w:name="_Toc18202"/>
      <w:bookmarkStart w:id="20" w:name="_Toc4287"/>
      <w:bookmarkStart w:id="21" w:name="_Toc27491"/>
      <w:bookmarkStart w:id="22" w:name="_Toc21549"/>
      <w:bookmarkStart w:id="23" w:name="_Toc4037"/>
      <w:bookmarkStart w:id="24" w:name="_Toc10944"/>
      <w:bookmarkStart w:id="25" w:name="_Toc17693"/>
      <w:bookmarkStart w:id="26" w:name="_Toc30294"/>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.3. Thiết lập huấn luyện</w:t>
      </w:r>
      <w:bookmarkEnd w:id="19"/>
      <w:bookmarkEnd w:id="20"/>
      <w:bookmarkEnd w:id="21"/>
      <w:bookmarkEnd w:id="22"/>
      <w:bookmarkEnd w:id="23"/>
      <w:bookmarkEnd w:id="24"/>
      <w:bookmarkEnd w:id="25"/>
      <w:bookmarkEnd w:id="26"/>
    </w:p>
    <w:p w14:paraId="1C82085C">
      <w:pPr>
        <w:rPr>
          <w:rFonts w:hint="default"/>
        </w:rPr>
      </w:pPr>
      <w:r>
        <w:drawing>
          <wp:inline distT="0" distB="0" distL="114300" distR="114300">
            <wp:extent cx="5269230" cy="3419475"/>
            <wp:effectExtent l="0" t="0" r="7620" b="0"/>
            <wp:docPr id="2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6"/>
                    <pic:cNvPicPr>
                      <a:picLocks noChangeAspect="1"/>
                    </pic:cNvPicPr>
                  </pic:nvPicPr>
                  <pic:blipFill>
                    <a:blip r:embed="rId6"/>
                    <a:stretch>
                      <a:fillRect/>
                    </a:stretch>
                  </pic:blipFill>
                  <pic:spPr>
                    <a:xfrm>
                      <a:off x="0" y="0"/>
                      <a:ext cx="5269230" cy="3419475"/>
                    </a:xfrm>
                    <a:prstGeom prst="rect">
                      <a:avLst/>
                    </a:prstGeom>
                    <a:noFill/>
                    <a:ln>
                      <a:noFill/>
                    </a:ln>
                  </pic:spPr>
                </pic:pic>
              </a:graphicData>
            </a:graphic>
          </wp:inline>
        </w:drawing>
      </w:r>
    </w:p>
    <w:p w14:paraId="6348F73A">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Hàm mất mát (Loss): MSELoss, tính trên log(SalePrice) — tương đương tối ưu hoá RMSLE.</w:t>
      </w:r>
    </w:p>
    <w:p w14:paraId="58D79507">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Bộ tối ưu (Optimizer): Adam, learning rate = 0,001.</w:t>
      </w:r>
    </w:p>
    <w:p w14:paraId="03BAE5DB">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Batch size: 32, dữ liệu được đưa vào qua DataLoader (xáo trộn ở tập train).</w:t>
      </w:r>
    </w:p>
    <w:p w14:paraId="703D981E">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Số epoch tối đa: 500, áp dụng Early Stopping với patience = 30 để tránh overfitting và tiết kiệm thời gian huấn luyện.</w:t>
      </w:r>
    </w:p>
    <w:p w14:paraId="11930194">
      <w:pPr>
        <w:pStyle w:val="249"/>
        <w:numPr>
          <w:ilvl w:val="0"/>
          <w:numId w:val="11"/>
        </w:numPr>
        <w:spacing w:after="80" w:line="28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Theo dõi quá trình huấn luyện (loss, tham số mô hình) bằng công cụ Weights &amp; Biases (wandb).</w:t>
      </w:r>
    </w:p>
    <w:p w14:paraId="0EAB3598">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27" w:name="_Toc15522"/>
      <w:bookmarkStart w:id="28" w:name="_Toc6627"/>
      <w:bookmarkStart w:id="29" w:name="_Toc6880"/>
      <w:bookmarkStart w:id="30" w:name="_Toc30125"/>
      <w:bookmarkStart w:id="31" w:name="_Toc15514"/>
      <w:bookmarkStart w:id="32" w:name="_Toc3841"/>
      <w:bookmarkStart w:id="33" w:name="_Toc32499"/>
      <w:bookmarkStart w:id="34" w:name="_Toc15036"/>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.4. Kết quả huấn luyện</w:t>
      </w:r>
      <w:bookmarkEnd w:id="27"/>
      <w:bookmarkEnd w:id="28"/>
      <w:bookmarkEnd w:id="29"/>
      <w:bookmarkEnd w:id="30"/>
      <w:bookmarkEnd w:id="31"/>
      <w:bookmarkEnd w:id="32"/>
      <w:bookmarkEnd w:id="33"/>
      <w:bookmarkEnd w:id="34"/>
    </w:p>
    <w:p w14:paraId="710AF2F2">
      <w:pPr>
        <w:spacing w:after="140" w:line="300" w:lineRule="auto"/>
        <w:jc w:val="both"/>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i w:val="0"/>
          <w:iCs w:val="0"/>
          <w:sz w:val="26"/>
          <w:szCs w:val="26"/>
        </w:rPr>
        <w:t xml:space="preserve">Quá trình huấn luyện hội tụ tốt: tại epoch </w:t>
      </w:r>
      <w:r>
        <w:rPr>
          <w:rFonts w:hint="default" w:ascii="Times New Roman" w:hAnsi="Times New Roman" w:cs="Times New Roman"/>
          <w:i w:val="0"/>
          <w:iCs w:val="0"/>
          <w:sz w:val="26"/>
          <w:szCs w:val="26"/>
          <w:lang w:val="en-US"/>
        </w:rPr>
        <w:t>95</w:t>
      </w:r>
      <w:r>
        <w:rPr>
          <w:rFonts w:hint="default" w:ascii="Times New Roman" w:hAnsi="Times New Roman" w:cs="Times New Roman"/>
          <w:i w:val="0"/>
          <w:iCs w:val="0"/>
          <w:sz w:val="26"/>
          <w:szCs w:val="26"/>
        </w:rPr>
        <w:t xml:space="preserve">, Train Loss ≈ </w:t>
      </w:r>
      <w:r>
        <w:rPr>
          <w:rFonts w:hint="default" w:ascii="Times New Roman" w:hAnsi="Times New Roman" w:cs="Times New Roman"/>
          <w:i w:val="0"/>
          <w:iCs w:val="0"/>
          <w:sz w:val="26"/>
          <w:szCs w:val="26"/>
          <w:lang w:val="en-US"/>
        </w:rPr>
        <w:t>1.1406</w:t>
      </w:r>
      <w:r>
        <w:rPr>
          <w:rFonts w:hint="default" w:ascii="Times New Roman" w:hAnsi="Times New Roman" w:cs="Times New Roman"/>
          <w:i w:val="0"/>
          <w:iCs w:val="0"/>
          <w:sz w:val="26"/>
          <w:szCs w:val="26"/>
        </w:rPr>
        <w:t xml:space="preserve"> và Val Loss ≈ 0,0</w:t>
      </w:r>
      <w:r>
        <w:rPr>
          <w:rFonts w:hint="default" w:ascii="Times New Roman" w:hAnsi="Times New Roman" w:cs="Times New Roman"/>
          <w:i w:val="0"/>
          <w:iCs w:val="0"/>
          <w:sz w:val="26"/>
          <w:szCs w:val="26"/>
          <w:lang w:val="en-US"/>
        </w:rPr>
        <w:t>7079</w:t>
      </w:r>
      <w:r>
        <w:rPr>
          <w:rFonts w:hint="default" w:ascii="Times New Roman" w:hAnsi="Times New Roman" w:cs="Times New Roman"/>
          <w:i w:val="0"/>
          <w:iCs w:val="0"/>
          <w:sz w:val="26"/>
          <w:szCs w:val="26"/>
        </w:rPr>
        <w:t xml:space="preserve">. Cơ chế Early Stopping đã dừng huấn luyện tại epoch 78 khi validation loss không cải thiện thêm, mô hình tốt nhất </w:t>
      </w:r>
    </w:p>
    <w:p w14:paraId="21D189B9">
      <w:pPr>
        <w:pStyle w:val="3"/>
        <w:bidi w:val="0"/>
        <w:rPr>
          <w:rFonts w:hint="default" w:ascii="Times New Roman" w:hAnsi="Times New Roman" w:cs="Times New Roman"/>
          <w:sz w:val="26"/>
          <w:szCs w:val="26"/>
        </w:rPr>
      </w:pPr>
      <w:bookmarkStart w:id="35" w:name="_Toc9460"/>
      <w:bookmarkStart w:id="36" w:name="_Toc3878"/>
      <w:bookmarkStart w:id="37" w:name="_Toc16711"/>
      <w:r>
        <w:rPr>
          <w:rFonts w:hint="default" w:ascii="Times New Roman" w:hAnsi="Times New Roman" w:cs="Times New Roman"/>
          <w:sz w:val="26"/>
          <w:szCs w:val="26"/>
          <w:lang w:val="en-US"/>
        </w:rPr>
        <w:t>4</w:t>
      </w:r>
      <w:r>
        <w:rPr>
          <w:rFonts w:hint="default" w:ascii="Times New Roman" w:hAnsi="Times New Roman" w:cs="Times New Roman"/>
          <w:sz w:val="26"/>
          <w:szCs w:val="26"/>
        </w:rPr>
        <w:t>.</w:t>
      </w:r>
      <w:r>
        <w:rPr>
          <w:rFonts w:hint="default" w:ascii="Times New Roman" w:hAnsi="Times New Roman" w:cs="Times New Roman"/>
          <w:sz w:val="26"/>
          <w:szCs w:val="26"/>
          <w:lang w:val="en-US"/>
        </w:rPr>
        <w:t>5.</w:t>
      </w:r>
      <w:r>
        <w:rPr>
          <w:rFonts w:hint="default" w:ascii="Times New Roman" w:hAnsi="Times New Roman" w:cs="Times New Roman"/>
          <w:sz w:val="26"/>
          <w:szCs w:val="26"/>
        </w:rPr>
        <w:t xml:space="preserve"> Đánh giá mô hình</w:t>
      </w:r>
      <w:bookmarkEnd w:id="35"/>
      <w:bookmarkEnd w:id="36"/>
      <w:bookmarkEnd w:id="37"/>
    </w:p>
    <w:p w14:paraId="6D1F33A0">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tốt nhất (theo validation loss) được nạp lại để đánh giá trên tập validation (292 quan sát). Kết quả:</w:t>
      </w:r>
    </w:p>
    <w:tbl>
      <w:tblPr>
        <w:tblStyle w:val="12"/>
        <w:tblW w:w="855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93"/>
        <w:gridCol w:w="3566"/>
      </w:tblGrid>
      <w:tr w14:paraId="3DE74875">
        <w:tblPrEx>
          <w:tblCellMar>
            <w:top w:w="0" w:type="dxa"/>
            <w:left w:w="10" w:type="dxa"/>
            <w:bottom w:w="0" w:type="dxa"/>
            <w:right w:w="10" w:type="dxa"/>
          </w:tblCellMar>
        </w:tblPrEx>
        <w:trPr>
          <w:trHeight w:val="373" w:hRule="atLeast"/>
        </w:trPr>
        <w:tc>
          <w:tcPr>
            <w:tcW w:w="4993" w:type="dxa"/>
            <w:shd w:val="clear" w:color="auto" w:fill="E7E6E6" w:themeFill="background2"/>
            <w:tcMar>
              <w:top w:w="60" w:type="dxa"/>
              <w:left w:w="100" w:type="dxa"/>
              <w:bottom w:w="60" w:type="dxa"/>
              <w:right w:w="100" w:type="dxa"/>
            </w:tcMar>
            <w:vAlign w:val="center"/>
          </w:tcPr>
          <w:p w14:paraId="17F3723E">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Chỉ số</w:t>
            </w:r>
          </w:p>
        </w:tc>
        <w:tc>
          <w:tcPr>
            <w:tcW w:w="3566" w:type="dxa"/>
            <w:shd w:val="clear" w:color="auto" w:fill="E7E6E6" w:themeFill="background2"/>
            <w:tcMar>
              <w:top w:w="60" w:type="dxa"/>
              <w:left w:w="100" w:type="dxa"/>
              <w:bottom w:w="60" w:type="dxa"/>
              <w:right w:w="100" w:type="dxa"/>
            </w:tcMar>
            <w:vAlign w:val="center"/>
          </w:tcPr>
          <w:p w14:paraId="321F4422">
            <w:pPr>
              <w:rPr>
                <w:i w:val="0"/>
                <w:iCs w:val="0"/>
                <w:color w:val="000000" w:themeColor="text1"/>
                <w14:textFill>
                  <w14:solidFill>
                    <w14:schemeClr w14:val="tx1"/>
                  </w14:solidFill>
                </w14:textFill>
              </w:rPr>
            </w:pPr>
            <w:r>
              <w:rPr>
                <w:b/>
                <w:bCs/>
                <w:i w:val="0"/>
                <w:iCs w:val="0"/>
                <w:color w:val="000000" w:themeColor="text1"/>
                <w:sz w:val="20"/>
                <w:szCs w:val="20"/>
                <w14:textFill>
                  <w14:solidFill>
                    <w14:schemeClr w14:val="tx1"/>
                  </w14:solidFill>
                </w14:textFill>
              </w:rPr>
              <w:t>Giá trị</w:t>
            </w:r>
          </w:p>
        </w:tc>
      </w:tr>
      <w:tr w14:paraId="64237C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3" w:hRule="atLeast"/>
        </w:trPr>
        <w:tc>
          <w:tcPr>
            <w:tcW w:w="4993" w:type="dxa"/>
            <w:shd w:val="clear" w:color="auto" w:fill="FFFFFF" w:themeFill="background1"/>
            <w:tcMar>
              <w:top w:w="60" w:type="dxa"/>
              <w:left w:w="100" w:type="dxa"/>
              <w:bottom w:w="60" w:type="dxa"/>
              <w:right w:w="100" w:type="dxa"/>
            </w:tcMar>
            <w:vAlign w:val="center"/>
          </w:tcPr>
          <w:p w14:paraId="7E6B0B05">
            <w:pPr>
              <w:rPr>
                <w:i w:val="0"/>
                <w:iCs w:val="0"/>
              </w:rPr>
            </w:pPr>
            <w:r>
              <w:rPr>
                <w:b w:val="0"/>
                <w:bCs w:val="0"/>
                <w:i w:val="0"/>
                <w:iCs w:val="0"/>
                <w:color w:val="000000"/>
                <w:sz w:val="20"/>
                <w:szCs w:val="20"/>
              </w:rPr>
              <w:t>Validation RMSLE (nội bộ, 292 mẫu)</w:t>
            </w:r>
          </w:p>
        </w:tc>
        <w:tc>
          <w:tcPr>
            <w:tcW w:w="3566" w:type="dxa"/>
            <w:shd w:val="clear" w:color="auto" w:fill="FFFFFF" w:themeFill="background1"/>
            <w:tcMar>
              <w:top w:w="60" w:type="dxa"/>
              <w:left w:w="100" w:type="dxa"/>
              <w:bottom w:w="60" w:type="dxa"/>
              <w:right w:w="100" w:type="dxa"/>
            </w:tcMar>
            <w:vAlign w:val="center"/>
          </w:tcPr>
          <w:p w14:paraId="0BD7E5ED">
            <w:pPr>
              <w:rPr>
                <w:rFonts w:hint="default"/>
                <w:i w:val="0"/>
                <w:iCs w:val="0"/>
                <w:lang w:val="en-US"/>
              </w:rPr>
            </w:pPr>
            <w:r>
              <w:rPr>
                <w:b w:val="0"/>
                <w:bCs w:val="0"/>
                <w:i w:val="0"/>
                <w:iCs w:val="0"/>
                <w:color w:val="000000"/>
                <w:sz w:val="20"/>
                <w:szCs w:val="20"/>
              </w:rPr>
              <w:t>0,</w:t>
            </w:r>
            <w:r>
              <w:rPr>
                <w:rFonts w:hint="default"/>
                <w:b w:val="0"/>
                <w:bCs w:val="0"/>
                <w:i w:val="0"/>
                <w:iCs w:val="0"/>
                <w:color w:val="000000"/>
                <w:sz w:val="20"/>
                <w:szCs w:val="20"/>
                <w:lang w:val="en-US"/>
              </w:rPr>
              <w:t>26607</w:t>
            </w:r>
          </w:p>
        </w:tc>
      </w:tr>
      <w:tr w14:paraId="23753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73" w:hRule="atLeast"/>
        </w:trPr>
        <w:tc>
          <w:tcPr>
            <w:tcW w:w="4993" w:type="dxa"/>
            <w:shd w:val="clear" w:color="auto" w:fill="FFFFFF" w:themeFill="background1"/>
            <w:tcMar>
              <w:top w:w="60" w:type="dxa"/>
              <w:left w:w="100" w:type="dxa"/>
              <w:bottom w:w="60" w:type="dxa"/>
              <w:right w:w="100" w:type="dxa"/>
            </w:tcMar>
            <w:vAlign w:val="center"/>
          </w:tcPr>
          <w:p w14:paraId="5BF87252">
            <w:pPr>
              <w:rPr>
                <w:i w:val="0"/>
                <w:iCs w:val="0"/>
              </w:rPr>
            </w:pPr>
            <w:r>
              <w:rPr>
                <w:b w:val="0"/>
                <w:bCs w:val="0"/>
                <w:i w:val="0"/>
                <w:iCs w:val="0"/>
                <w:color w:val="000000"/>
                <w:sz w:val="20"/>
                <w:szCs w:val="20"/>
              </w:rPr>
              <w:t>Epoch dừng (Early Stopping)</w:t>
            </w:r>
          </w:p>
        </w:tc>
        <w:tc>
          <w:tcPr>
            <w:tcW w:w="3566" w:type="dxa"/>
            <w:shd w:val="clear" w:color="auto" w:fill="FFFFFF" w:themeFill="background1"/>
            <w:tcMar>
              <w:top w:w="60" w:type="dxa"/>
              <w:left w:w="100" w:type="dxa"/>
              <w:bottom w:w="60" w:type="dxa"/>
              <w:right w:w="100" w:type="dxa"/>
            </w:tcMar>
            <w:vAlign w:val="center"/>
          </w:tcPr>
          <w:p w14:paraId="3C0734E7">
            <w:pPr>
              <w:rPr>
                <w:rFonts w:hint="default"/>
                <w:i w:val="0"/>
                <w:iCs w:val="0"/>
                <w:lang w:val="en-US"/>
              </w:rPr>
            </w:pPr>
            <w:r>
              <w:rPr>
                <w:rFonts w:hint="default"/>
                <w:i w:val="0"/>
                <w:iCs w:val="0"/>
                <w:lang w:val="en-US"/>
              </w:rPr>
              <w:t>95</w:t>
            </w:r>
          </w:p>
        </w:tc>
      </w:tr>
      <w:tr w14:paraId="50B8F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389" w:hRule="atLeast"/>
        </w:trPr>
        <w:tc>
          <w:tcPr>
            <w:tcW w:w="4993" w:type="dxa"/>
            <w:shd w:val="clear" w:color="auto" w:fill="FFFFFF" w:themeFill="background1"/>
            <w:tcMar>
              <w:top w:w="60" w:type="dxa"/>
              <w:left w:w="100" w:type="dxa"/>
              <w:bottom w:w="60" w:type="dxa"/>
              <w:right w:w="100" w:type="dxa"/>
            </w:tcMar>
            <w:vAlign w:val="center"/>
          </w:tcPr>
          <w:p w14:paraId="6E24C29C">
            <w:pPr>
              <w:rPr>
                <w:i w:val="0"/>
                <w:iCs w:val="0"/>
              </w:rPr>
            </w:pPr>
            <w:r>
              <w:rPr>
                <w:b w:val="0"/>
                <w:bCs w:val="0"/>
                <w:i w:val="0"/>
                <w:iCs w:val="0"/>
                <w:color w:val="000000"/>
                <w:sz w:val="20"/>
                <w:szCs w:val="20"/>
              </w:rPr>
              <w:t>Kaggle Public Leaderboard RMSLE (tập test)</w:t>
            </w:r>
          </w:p>
        </w:tc>
        <w:tc>
          <w:tcPr>
            <w:tcW w:w="3566" w:type="dxa"/>
            <w:shd w:val="clear" w:color="auto" w:fill="FFFFFF" w:themeFill="background1"/>
            <w:tcMar>
              <w:top w:w="60" w:type="dxa"/>
              <w:left w:w="100" w:type="dxa"/>
              <w:bottom w:w="60" w:type="dxa"/>
              <w:right w:w="100" w:type="dxa"/>
            </w:tcMar>
            <w:vAlign w:val="center"/>
          </w:tcPr>
          <w:p w14:paraId="63777A3C">
            <w:pPr>
              <w:rPr>
                <w:rFonts w:hint="default"/>
                <w:i w:val="0"/>
                <w:iCs w:val="0"/>
                <w:lang w:val="en-US"/>
              </w:rPr>
            </w:pPr>
            <w:r>
              <w:rPr>
                <w:b w:val="0"/>
                <w:bCs w:val="0"/>
                <w:i w:val="0"/>
                <w:iCs w:val="0"/>
                <w:color w:val="000000"/>
                <w:sz w:val="20"/>
                <w:szCs w:val="20"/>
              </w:rPr>
              <w:t>≈ 0,1</w:t>
            </w:r>
            <w:r>
              <w:rPr>
                <w:rFonts w:hint="default"/>
                <w:b w:val="0"/>
                <w:bCs w:val="0"/>
                <w:i w:val="0"/>
                <w:iCs w:val="0"/>
                <w:color w:val="000000"/>
                <w:sz w:val="20"/>
                <w:szCs w:val="20"/>
                <w:lang w:val="en-US"/>
              </w:rPr>
              <w:t>3</w:t>
            </w:r>
          </w:p>
        </w:tc>
      </w:tr>
    </w:tbl>
    <w:p w14:paraId="5438F0E3">
      <w:pPr>
        <w:spacing w:after="140" w:line="300" w:lineRule="auto"/>
        <w:jc w:val="both"/>
        <w:rPr>
          <w:rFonts w:hint="default" w:ascii="Times New Roman" w:hAnsi="Times New Roman" w:cs="Times New Roman"/>
          <w:i w:val="0"/>
          <w:iCs w:val="0"/>
          <w:sz w:val="26"/>
          <w:szCs w:val="26"/>
        </w:rPr>
      </w:pPr>
    </w:p>
    <w:p w14:paraId="15051E19">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Chỉ số RMSLE ≈ 0,</w:t>
      </w:r>
      <w:r>
        <w:rPr>
          <w:rFonts w:hint="default" w:ascii="Times New Roman" w:hAnsi="Times New Roman" w:cs="Times New Roman"/>
          <w:i w:val="0"/>
          <w:iCs w:val="0"/>
          <w:sz w:val="26"/>
          <w:szCs w:val="26"/>
          <w:lang w:val="en-US"/>
        </w:rPr>
        <w:t>26607</w:t>
      </w:r>
      <w:r>
        <w:rPr>
          <w:rFonts w:hint="default" w:ascii="Times New Roman" w:hAnsi="Times New Roman" w:cs="Times New Roman"/>
          <w:i w:val="0"/>
          <w:iCs w:val="0"/>
          <w:sz w:val="26"/>
          <w:szCs w:val="26"/>
        </w:rPr>
        <w:t xml:space="preserve"> cho thấy mô hình dự đoán khá sát với giá trị thực tế, sai lệch trung bình trên thang log tương đối nhỏ đối với bài toán giá nhà có biên độ giá trị rộng. RMSLE trên tập test (Kaggle) chỉ nhỉnh hơn một chút so với RMSLE trên tập validation nội bộ ( ≈0,1</w:t>
      </w:r>
      <w:r>
        <w:rPr>
          <w:rFonts w:hint="default" w:ascii="Times New Roman" w:hAnsi="Times New Roman" w:cs="Times New Roman"/>
          <w:i w:val="0"/>
          <w:iCs w:val="0"/>
          <w:sz w:val="26"/>
          <w:szCs w:val="26"/>
          <w:lang w:val="en-US"/>
        </w:rPr>
        <w:t>3</w:t>
      </w:r>
      <w:r>
        <w:rPr>
          <w:rFonts w:hint="default" w:ascii="Times New Roman" w:hAnsi="Times New Roman" w:cs="Times New Roman"/>
          <w:i w:val="0"/>
          <w:iCs w:val="0"/>
          <w:sz w:val="26"/>
          <w:szCs w:val="26"/>
        </w:rPr>
        <w:t>), cho thấy mô hình không bị overfitting đáng kể và có khả năng tổng quát hoá tốt sang dữ liệu chưa từng thấy.</w:t>
      </w:r>
    </w:p>
    <w:p w14:paraId="0F2E1A93">
      <w:pPr>
        <w:pStyle w:val="3"/>
        <w:spacing w:before="240" w:after="120"/>
        <w:jc w:val="both"/>
        <w:rPr>
          <w:rFonts w:hint="default" w:ascii="Times New Roman" w:hAnsi="Times New Roman" w:cs="Times New Roman"/>
          <w:i w:val="0"/>
          <w:iCs w:val="0"/>
          <w:color w:val="000000" w:themeColor="text1"/>
          <w:sz w:val="26"/>
          <w:szCs w:val="26"/>
          <w14:textFill>
            <w14:solidFill>
              <w14:schemeClr w14:val="tx1"/>
            </w14:solidFill>
          </w14:textFill>
        </w:rPr>
      </w:pPr>
      <w:bookmarkStart w:id="38" w:name="_Toc32456"/>
      <w:bookmarkStart w:id="39" w:name="_Toc26443"/>
      <w:bookmarkStart w:id="40" w:name="_Toc5525"/>
      <w:bookmarkStart w:id="41" w:name="_Toc24546"/>
      <w:bookmarkStart w:id="42" w:name="_Toc27277"/>
      <w:bookmarkStart w:id="43" w:name="_Toc2335"/>
      <w:bookmarkStart w:id="44" w:name="_Toc28211"/>
      <w:bookmarkStart w:id="45" w:name="_Toc28733"/>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6</w:t>
      </w:r>
      <w:r>
        <w:rPr>
          <w:rFonts w:hint="default" w:ascii="Times New Roman" w:hAnsi="Times New Roman" w:cs="Times New Roman"/>
          <w:b/>
          <w:bCs/>
          <w:i w:val="0"/>
          <w:iCs w:val="0"/>
          <w:color w:val="000000" w:themeColor="text1"/>
          <w:sz w:val="26"/>
          <w:szCs w:val="26"/>
          <w14:textFill>
            <w14:solidFill>
              <w14:schemeClr w14:val="tx1"/>
            </w14:solidFill>
          </w14:textFill>
        </w:rPr>
        <w:t>. So sánh dự đoán và thực tế</w:t>
      </w:r>
      <w:bookmarkEnd w:id="38"/>
      <w:bookmarkEnd w:id="39"/>
      <w:bookmarkEnd w:id="40"/>
      <w:bookmarkEnd w:id="41"/>
      <w:bookmarkEnd w:id="42"/>
      <w:bookmarkEnd w:id="43"/>
      <w:bookmarkEnd w:id="44"/>
      <w:bookmarkEnd w:id="45"/>
    </w:p>
    <w:p w14:paraId="72E93924">
      <w:pPr>
        <w:spacing w:after="140" w:line="300" w:lineRule="auto"/>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Kiểm tra trực tiếp 10 mẫu trên tập validation cho thấy mô hình dự đoán khá sát với giá trị thực (ví dụ 154.500 → 143.030 USD; 115.000 → 108.571 USD), tuy một số trường hợp còn lệch đáng kể (ví dụ 311.500 → 224.710 USD), cho thấy mô hình còn hạn chế với các căn nhà có đặc điểm không điển hình.</w:t>
      </w:r>
    </w:p>
    <w:p w14:paraId="00D9DC31">
      <w:pPr>
        <w:pStyle w:val="3"/>
        <w:spacing w:before="240" w:after="120"/>
        <w:jc w:val="both"/>
        <w:outlineLvl w:val="1"/>
        <w:rPr>
          <w:rFonts w:hint="default" w:ascii="Times New Roman" w:hAnsi="Times New Roman" w:cs="Times New Roman"/>
          <w:i w:val="0"/>
          <w:iCs w:val="0"/>
          <w:color w:val="000000" w:themeColor="text1"/>
          <w:sz w:val="26"/>
          <w:szCs w:val="26"/>
          <w14:textFill>
            <w14:solidFill>
              <w14:schemeClr w14:val="tx1"/>
            </w14:solidFill>
          </w14:textFill>
        </w:rPr>
      </w:pPr>
      <w:bookmarkStart w:id="46" w:name="_Toc27845"/>
      <w:bookmarkStart w:id="47" w:name="_Toc4450"/>
      <w:bookmarkStart w:id="48" w:name="_Toc7306"/>
      <w:bookmarkStart w:id="49" w:name="_Toc20429"/>
      <w:bookmarkStart w:id="50" w:name="_Toc9001"/>
      <w:bookmarkStart w:id="51" w:name="_Toc6445"/>
      <w:bookmarkStart w:id="52" w:name="_Toc26152"/>
      <w:bookmarkStart w:id="53" w:name="_Toc12219"/>
      <w:r>
        <w:rPr>
          <w:rFonts w:hint="default" w:ascii="Times New Roman" w:hAnsi="Times New Roman" w:cs="Times New Roman"/>
          <w:b/>
          <w:bCs/>
          <w:i w:val="0"/>
          <w:iCs w:val="0"/>
          <w:color w:val="000000" w:themeColor="text1"/>
          <w:sz w:val="26"/>
          <w:szCs w:val="26"/>
          <w:lang w:val="en-US"/>
          <w14:textFill>
            <w14:solidFill>
              <w14:schemeClr w14:val="tx1"/>
            </w14:solidFill>
          </w14:textFill>
        </w:rPr>
        <w:t>4</w:t>
      </w:r>
      <w:r>
        <w:rPr>
          <w:rFonts w:hint="default" w:ascii="Times New Roman" w:hAnsi="Times New Roman" w:cs="Times New Roman"/>
          <w:b/>
          <w:bCs/>
          <w:i w:val="0"/>
          <w:iCs w:val="0"/>
          <w:color w:val="000000" w:themeColor="text1"/>
          <w:sz w:val="26"/>
          <w:szCs w:val="26"/>
          <w14:textFill>
            <w14:solidFill>
              <w14:schemeClr w14:val="tx1"/>
            </w14:solidFill>
          </w14:textFill>
        </w:rPr>
        <w:t>.</w:t>
      </w:r>
      <w:r>
        <w:rPr>
          <w:rFonts w:hint="default" w:ascii="Times New Roman" w:hAnsi="Times New Roman" w:cs="Times New Roman"/>
          <w:b/>
          <w:bCs/>
          <w:i w:val="0"/>
          <w:iCs w:val="0"/>
          <w:color w:val="000000" w:themeColor="text1"/>
          <w:sz w:val="26"/>
          <w:szCs w:val="26"/>
          <w:lang w:val="en-US"/>
          <w14:textFill>
            <w14:solidFill>
              <w14:schemeClr w14:val="tx1"/>
            </w14:solidFill>
          </w14:textFill>
        </w:rPr>
        <w:t>7</w:t>
      </w:r>
      <w:r>
        <w:rPr>
          <w:rFonts w:hint="default" w:ascii="Times New Roman" w:hAnsi="Times New Roman" w:cs="Times New Roman"/>
          <w:b/>
          <w:bCs/>
          <w:i w:val="0"/>
          <w:iCs w:val="0"/>
          <w:color w:val="000000" w:themeColor="text1"/>
          <w:sz w:val="26"/>
          <w:szCs w:val="26"/>
          <w14:textFill>
            <w14:solidFill>
              <w14:schemeClr w14:val="tx1"/>
            </w14:solidFill>
          </w14:textFill>
        </w:rPr>
        <w:t>. Đánh giá tổng thể so với mục tiêu ban đầu</w:t>
      </w:r>
      <w:bookmarkEnd w:id="46"/>
      <w:bookmarkEnd w:id="47"/>
      <w:bookmarkEnd w:id="48"/>
      <w:bookmarkEnd w:id="49"/>
      <w:bookmarkEnd w:id="50"/>
      <w:bookmarkEnd w:id="51"/>
      <w:bookmarkEnd w:id="52"/>
      <w:bookmarkEnd w:id="53"/>
    </w:p>
    <w:p w14:paraId="4339BC85">
      <w:pPr>
        <w:pStyle w:val="249"/>
        <w:numPr>
          <w:ilvl w:val="-6"/>
          <w:numId w:val="0"/>
        </w:numPr>
        <w:spacing w:after="80" w:line="280" w:lineRule="auto"/>
        <w:ind w:left="154"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Mô hình đạt được mục tiêu xây dựng hệ thống dự đoán giá nhà với sai số RMSLE thấp, có thể chấp nhận được cho bài toán hồi quy giá bất động sản.</w:t>
      </w:r>
    </w:p>
    <w:p w14:paraId="492D9EFC">
      <w:pPr>
        <w:pStyle w:val="249"/>
        <w:numPr>
          <w:ilvl w:val="-6"/>
          <w:numId w:val="0"/>
        </w:numPr>
        <w:spacing w:after="80" w:line="280" w:lineRule="auto"/>
        <w:ind w:left="154"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Các đặc trưng quan trọng nhất (OverallQual, GrLivArea, GarageCars...) phù hợp với hiểu biết thực tế về thị trường bất động sản, tăng độ tin cậy của mô hình.</w:t>
      </w:r>
    </w:p>
    <w:p w14:paraId="6A451F7B">
      <w:pPr>
        <w:pStyle w:val="249"/>
        <w:numPr>
          <w:ilvl w:val="-6"/>
          <w:numId w:val="0"/>
        </w:numPr>
        <w:spacing w:after="80" w:line="280" w:lineRule="auto"/>
        <w:ind w:left="154" w:leftChars="0"/>
        <w:jc w:val="both"/>
        <w:rPr>
          <w:rFonts w:hint="default" w:ascii="Times New Roman" w:hAnsi="Times New Roman" w:cs="Times New Roman"/>
          <w:i w:val="0"/>
          <w:iCs w:val="0"/>
          <w:sz w:val="26"/>
          <w:szCs w:val="26"/>
        </w:rPr>
      </w:pPr>
      <w:r>
        <w:rPr>
          <w:rFonts w:hint="default" w:ascii="Times New Roman" w:hAnsi="Times New Roman" w:cs="Times New Roman"/>
          <w:i w:val="0"/>
          <w:iCs w:val="0"/>
          <w:sz w:val="26"/>
          <w:szCs w:val="26"/>
        </w:rPr>
        <w:t>Hạn chế: mô hình MLP dùng toàn bộ 300 đặc trưng one-hot có thể tồn tại nhiễu/overfitting cục bộ; chưa thử nghiệm so sánh với các mô hình cây (Random Forest, XGBoost, LightGBM) thường cho kết quả tốt trên dữ liệu dạng bảng để đối chiếu.</w:t>
      </w:r>
    </w:p>
    <w:p w14:paraId="3E153FFA">
      <w:pPr>
        <w:spacing w:after="140" w:line="300" w:lineRule="auto"/>
        <w:jc w:val="both"/>
        <w:rPr>
          <w:rFonts w:hint="default" w:ascii="Times New Roman" w:hAnsi="Times New Roman" w:cs="Times New Roman"/>
          <w:b/>
          <w:bCs/>
          <w:i w:val="0"/>
          <w:iCs w:val="0"/>
          <w:color w:val="000000" w:themeColor="text1"/>
          <w:sz w:val="26"/>
          <w:szCs w:val="26"/>
          <w14:textFill>
            <w14:solidFill>
              <w14:schemeClr w14:val="tx1"/>
            </w14:solidFill>
          </w14:textFill>
        </w:rPr>
      </w:pPr>
    </w:p>
    <w:p w14:paraId="452EC4CB">
      <w:pPr>
        <w:rPr>
          <w:rFonts w:hint="default"/>
          <w:i w:val="0"/>
          <w:iCs w:val="0"/>
        </w:rPr>
      </w:pPr>
    </w:p>
    <w:p w14:paraId="0E9BC840">
      <w:pPr>
        <w:spacing w:after="140" w:line="300" w:lineRule="auto"/>
        <w:jc w:val="both"/>
        <w:rPr>
          <w:rFonts w:hint="default" w:ascii="Times New Roman" w:hAnsi="Times New Roman" w:cs="Times New Roman"/>
          <w:b/>
          <w:bCs/>
          <w:i w:val="0"/>
          <w:iCs w:val="0"/>
          <w:sz w:val="30"/>
          <w:szCs w:val="30"/>
          <w:lang w:val="en-US"/>
        </w:rPr>
      </w:pPr>
    </w:p>
    <w:p w14:paraId="1C9E6B40">
      <w:pPr>
        <w:spacing w:after="140" w:line="300" w:lineRule="auto"/>
        <w:jc w:val="both"/>
        <w:rPr>
          <w:rFonts w:hint="default" w:ascii="Times New Roman" w:hAnsi="Times New Roman" w:cs="Times New Roman"/>
          <w:b/>
          <w:bCs/>
          <w:i w:val="0"/>
          <w:iCs w:val="0"/>
          <w:sz w:val="30"/>
          <w:szCs w:val="30"/>
          <w:lang w:val="en-US"/>
        </w:rPr>
      </w:pPr>
    </w:p>
    <w:p w14:paraId="43DC57BE">
      <w:pPr>
        <w:pStyle w:val="47"/>
        <w:keepNext w:val="0"/>
        <w:keepLines w:val="0"/>
        <w:widowControl/>
        <w:suppressLineNumbers w:val="0"/>
        <w:pBdr>
          <w:top w:val="none" w:color="1F1F1F" w:sz="0" w:space="0"/>
          <w:left w:val="none" w:color="1F1F1F" w:sz="0" w:space="0"/>
          <w:bottom w:val="none" w:color="1F1F1F" w:sz="0" w:space="0"/>
          <w:right w:val="none" w:color="1F1F1F" w:sz="0" w:space="0"/>
        </w:pBdr>
        <w:bidi w:val="0"/>
        <w:spacing w:before="0" w:beforeAutospacing="0" w:after="0" w:afterAutospacing="0" w:line="360" w:lineRule="auto"/>
        <w:ind w:left="0" w:right="0"/>
        <w:jc w:val="both"/>
        <w:rPr>
          <w:rStyle w:val="44"/>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sectPr>
      <w:footerReference r:id="rId3" w:type="default"/>
      <w:pgSz w:w="11906" w:h="16838"/>
      <w:pgMar w:top="1440" w:right="1800" w:bottom="1440" w:left="1800" w:header="720" w:footer="720" w:gutter="0"/>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auto"/>
    <w:pitch w:val="default"/>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0AC011">
    <w:pPr>
      <w:pStyle w:val="3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4" name="Text Box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91FC242">
                          <w:pPr>
                            <w:pStyle w:val="3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AduMdHIgIA&#10;AGIEAAAOAAAAAAAAAAEAIAAAAB8BAABkcnMvZTJvRG9jLnhtbFBLBQYAAAAABgAGAFkBAACzBQAA&#10;AAA=&#10;">
              <v:fill on="f" focussize="0,0"/>
              <v:stroke on="f" weight="0.5pt"/>
              <v:imagedata o:title=""/>
              <o:lock v:ext="edit" aspectratio="f"/>
              <v:textbox inset="0mm,0mm,0mm,0mm" style="mso-fit-shape-to-text:t;">
                <w:txbxContent>
                  <w:p w14:paraId="291FC242">
                    <w:pPr>
                      <w:pStyle w:val="37"/>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0053208E"/>
    <w:multiLevelType w:val="multilevel"/>
    <w:tmpl w:val="0053208E"/>
    <w:lvl w:ilvl="0" w:tentative="0">
      <w:start w:val="1"/>
      <w:numFmt w:val="bullet"/>
      <w:lvlText w:val="•"/>
      <w:lvlJc w:val="left"/>
      <w:pPr>
        <w:ind w:left="420" w:hanging="2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A66C0C"/>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38247D1"/>
    <w:rsid w:val="081B2083"/>
    <w:rsid w:val="09F0304C"/>
    <w:rsid w:val="103D25B1"/>
    <w:rsid w:val="12FC190C"/>
    <w:rsid w:val="21A70D64"/>
    <w:rsid w:val="2CF05E9C"/>
    <w:rsid w:val="2E9D2FF9"/>
    <w:rsid w:val="32BA64BA"/>
    <w:rsid w:val="334254A8"/>
    <w:rsid w:val="345E175E"/>
    <w:rsid w:val="354E34D3"/>
    <w:rsid w:val="39A66C0C"/>
    <w:rsid w:val="3EC9670E"/>
    <w:rsid w:val="4E15111E"/>
    <w:rsid w:val="514172DE"/>
    <w:rsid w:val="523D0DD4"/>
    <w:rsid w:val="59E47241"/>
    <w:rsid w:val="614E363B"/>
    <w:rsid w:val="710651FB"/>
    <w:rsid w:val="71DC2D41"/>
    <w:rsid w:val="723E077B"/>
    <w:rsid w:val="7252741C"/>
    <w:rsid w:val="758614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qFormat="1" w:unhideWhenUsed="0" w:uiPriority="0"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0" w:semiHidden="0" w:name="List Paragraph"/>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szCs w:val="26"/>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qFormat/>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jc w:val="left"/>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jc w:val="left"/>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paragraph" w:styleId="249">
    <w:name w:val="List Paragraph"/>
    <w:basedOn w:val="1"/>
    <w:qFormat/>
    <w:uiPriority w:val="0"/>
    <w:rPr>
      <w:rFonts w:asciiTheme="minorHAnsi" w:hAnsiTheme="minorHAnsi" w:eastAsiaTheme="minorEastAsia" w:cstheme="minorBidi"/>
      <w:sz w:val="21"/>
      <w:szCs w:val="22"/>
    </w:rPr>
  </w:style>
  <w:style w:type="table" w:customStyle="1" w:styleId="250">
    <w:name w:val="_Style 10"/>
    <w:basedOn w:val="251"/>
    <w:qFormat/>
    <w:uiPriority w:val="0"/>
    <w:tblPr>
      <w:tblCellMar>
        <w:top w:w="0" w:type="dxa"/>
        <w:left w:w="115" w:type="dxa"/>
        <w:bottom w:w="0" w:type="dxa"/>
        <w:right w:w="115" w:type="dxa"/>
      </w:tblCellMar>
    </w:tblPr>
  </w:style>
  <w:style w:type="table" w:customStyle="1" w:styleId="251">
    <w:name w:val="TableNormal"/>
    <w:qFormat/>
    <w:uiPriority w:val="0"/>
    <w:tblPr>
      <w:tblCellMar>
        <w:top w:w="100" w:type="dxa"/>
        <w:left w:w="100" w:type="dxa"/>
        <w:bottom w:w="100" w:type="dxa"/>
        <w:right w:w="100" w:type="dxa"/>
      </w:tblCellMar>
    </w:tblPr>
  </w:style>
  <w:style w:type="table" w:customStyle="1" w:styleId="252">
    <w:name w:val="_Style 11"/>
    <w:basedOn w:val="251"/>
    <w:qFormat/>
    <w:uiPriority w:val="0"/>
    <w:tblPr>
      <w:tblCellMar>
        <w:top w:w="0" w:type="dxa"/>
        <w:left w:w="115" w:type="dxa"/>
        <w:bottom w:w="0" w:type="dxa"/>
        <w:right w:w="115" w:type="dxa"/>
      </w:tblCellMar>
    </w:tblPr>
  </w:style>
  <w:style w:type="table" w:customStyle="1" w:styleId="253">
    <w:name w:val="_Style 12"/>
    <w:basedOn w:val="251"/>
    <w:qFormat/>
    <w:uiPriority w:val="0"/>
    <w:tblPr>
      <w:tblCellMar>
        <w:top w:w="0" w:type="dxa"/>
        <w:left w:w="115" w:type="dxa"/>
        <w:bottom w:w="0" w:type="dxa"/>
        <w:right w:w="115" w:type="dxa"/>
      </w:tblCellMar>
    </w:tblPr>
  </w:style>
  <w:style w:type="table" w:customStyle="1" w:styleId="254">
    <w:name w:val="_Style 13"/>
    <w:basedOn w:val="251"/>
    <w:qFormat/>
    <w:uiPriority w:val="0"/>
    <w:tblPr>
      <w:tblCellMar>
        <w:top w:w="0" w:type="dxa"/>
        <w:left w:w="115" w:type="dxa"/>
        <w:bottom w:w="0" w:type="dxa"/>
        <w:right w:w="115" w:type="dxa"/>
      </w:tblCellMar>
    </w:tblPr>
  </w:style>
  <w:style w:type="table" w:customStyle="1" w:styleId="255">
    <w:name w:val="_Style 14"/>
    <w:basedOn w:val="251"/>
    <w:qFormat/>
    <w:uiPriority w:val="0"/>
    <w:tblPr>
      <w:tblCellMar>
        <w:top w:w="0" w:type="dxa"/>
        <w:left w:w="115" w:type="dxa"/>
        <w:bottom w:w="0" w:type="dxa"/>
        <w:right w:w="115" w:type="dxa"/>
      </w:tblCellMar>
    </w:tblPr>
  </w:style>
  <w:style w:type="table" w:customStyle="1" w:styleId="256">
    <w:name w:val="_Style 15"/>
    <w:basedOn w:val="251"/>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6877</Words>
  <Characters>26594</Characters>
  <Lines>0</Lines>
  <Paragraphs>0</Paragraphs>
  <TotalTime>45</TotalTime>
  <ScaleCrop>false</ScaleCrop>
  <LinksUpToDate>false</LinksUpToDate>
  <CharactersWithSpaces>32823</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2026-09-22T16:00:00Z</dcterms:created>
  <dc:creator>Uyen Mai</dc:creator>
  <cp:lastModifiedBy>Phạm Ngọc Phương Uyên</cp:lastModifiedBy>
  <dcterms:modified xsi:type="dcterms:W3CDTF">2026-09-27T09:22:35Z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4FBD177529C74992A36E3BEC32D62773_13</vt:lpwstr>
  </property>
  <property fmtid="{D5CDD505-2E9C-101B-9397-08002B2CF9AE}" pid="4" name="KSOTemplateDocerSaveRecord">
    <vt:lpwstr>eyJoZGlkIjoiYjAzZDI1OGQwY2YyYjA5ZTM5N2YxYjk4NjE2MWZmOWUiLCJ1c2VySWQiOiIxMzkyMTE1NjQwMjA4In0=</vt:lpwstr>
  </property>
</Properties>
</file>