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18B72">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CHƯƠNG 5: QUẢN TRỊ TÀI CHÍNH (FINANCIAL MANAGEMENT)</w:t>
      </w:r>
    </w:p>
    <w:p w14:paraId="40215583">
      <w:pPr>
        <w:pStyle w:val="5"/>
        <w:keepNext w:val="0"/>
        <w:keepLines w:val="0"/>
        <w:widowControl/>
        <w:suppressLineNumbers w:val="0"/>
        <w:bidi w:val="0"/>
        <w:spacing w:before="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5.1 Tổng quan về Chiến lược Tài chính</w:t>
      </w:r>
    </w:p>
    <w:p w14:paraId="02438065">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Chiến lược tài chính của TrangHerb EcoTech được xây dựng dựa trên nguyên lý vận hành tinh gọn (Lean Startup), tập trung vào việc tối ưu hóa chi phí cố định (CAPEX) và duy trì dòng tiền linh hoạt nhằm vượt qua giai đoạn rủi ro cao nhất của một startup phần cứng nông nghiệp (AgTech).</w:t>
      </w:r>
    </w:p>
    <w:p w14:paraId="4D1A057F">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 xml:space="preserve">Trải qua hơn 1 năm nghiên cứu và triển khai thực địa, dự án đã chính thức bước vào giai đoạn thương mại hóa bước đầu (Early Commercialization). Thành tựu tài chính đáng chú ý nhất là dự án đã chuyển giao thành công 01 hệ thống </w:t>
      </w:r>
      <w:r>
        <w:rPr>
          <w:rFonts w:hint="default" w:ascii="Times New Roman" w:hAnsi="Times New Roman" w:cs="Times New Roman"/>
          <w:b/>
          <w:bCs/>
          <w:i w:val="0"/>
          <w:iCs w:val="0"/>
          <w:color w:val="000000"/>
          <w:sz w:val="24"/>
          <w:szCs w:val="24"/>
          <w:u w:val="none"/>
          <w:vertAlign w:val="baseline"/>
        </w:rPr>
        <w:t>Module 3 (Combo Cá + Rau)</w:t>
      </w:r>
      <w:r>
        <w:rPr>
          <w:rFonts w:hint="default" w:ascii="Times New Roman" w:hAnsi="Times New Roman" w:cs="Times New Roman"/>
          <w:i w:val="0"/>
          <w:iCs w:val="0"/>
          <w:color w:val="000000"/>
          <w:sz w:val="24"/>
          <w:szCs w:val="24"/>
          <w:u w:val="none"/>
          <w:vertAlign w:val="baseline"/>
        </w:rPr>
        <w:t xml:space="preserve"> cho khách hàng tiên phong (early adopter). Mặc dù giao dịch này được thực hiện với mức giá ưu đãi giảm 50% (đạt 5.000.000 VNĐ so với giá niêm yết), đây là một chiến lược đánh đổi có chủ đích nhằm thiết lập "showroom thực tế" (Showcase Site). Việc này không chỉ mang lại dòng doanh thu đầu tiên mà còn tạo ra case-study thực chứng, thu thập dữ liệu vận hành dài hạn để làm đòn bẩy thuyết phục các khách hàng B2B tiếp theo.</w:t>
      </w:r>
    </w:p>
    <w:p w14:paraId="4336B589">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Để chuẩn bị cho giai đoạn mở rộng (Scaling), TrangHerb EcoTech đã hoàn thiện cấu trúc chi phí và định giá cho 3 dòng sản phẩm cốt lõi. Khung giá này được thiết kế để đảm bảo biên lợi nhuận gộp (Gross Margin) an toàn (trung bình ~66%), tạo dư địa cho các chi phí bảo hành, hao mòn phần cứng và tái đầu tư vào công nghệ phần mềm.</w:t>
      </w:r>
    </w:p>
    <w:p w14:paraId="5724864C">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5.1: Cấu trúc tính năng và Định giá các dòng sản phẩm cơ sở</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0"/>
        <w:gridCol w:w="4489"/>
        <w:gridCol w:w="1538"/>
        <w:gridCol w:w="1563"/>
      </w:tblGrid>
      <w:tr w14:paraId="3651C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6B57AC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Dòng sản phẩm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1E4C3F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Chức năng cốt lõi (Module Function)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FF57D0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phí vốn (COGS)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7441DC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Giá bán niêm yết</w:t>
            </w:r>
          </w:p>
        </w:tc>
      </w:tr>
      <w:tr w14:paraId="44277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2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0A960D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Module 1: Hệ thống Nuôi gà thông minh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ED5691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Tự động hóa điều khiển các thiết bị ngoại vi (đèn sưởi, quạt thông gió, máng nước, động cơ phân phối thức ăn). Phù hợp phân khúc trang trại tầm trung.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2F2C34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1.235.400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7B29AF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3.700.000 VNĐ</w:t>
            </w:r>
          </w:p>
        </w:tc>
      </w:tr>
      <w:tr w14:paraId="3A9F9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9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AE1731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Module 2: Hệ thống Tưới rau tự động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130C89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Đóng vai trò là "sản phẩm phễu" (bình dân). Dễ lắp đặt, chức năng cơ bản, hướng tới tệp khách hàng nông nghiệp đô thị (ban công, sân thượng) để phủ thị trường.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AA4A26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650.000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6C7F97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1.950.000 VNĐ</w:t>
            </w:r>
          </w:p>
        </w:tc>
      </w:tr>
      <w:tr w14:paraId="0E4B7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9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211296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Module 3: Combo Aquaponics (Cá + Rau)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EB32A8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Hệ thống cao cấp tích hợp chu trình tuần hoàn khép kín. Sử dụng cảm biến đa tham số (pH, nhiệt độ, DO) và điều khiển PID để tự động cân bằng hệ sinh thái sinh học.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1BA5A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3.454.963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5F44E8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10.360.000 VNĐ</w:t>
            </w:r>
          </w:p>
        </w:tc>
      </w:tr>
    </w:tbl>
    <w:p w14:paraId="7B7D61F5">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iCs/>
          <w:color w:val="000000"/>
          <w:sz w:val="24"/>
          <w:szCs w:val="24"/>
          <w:u w:val="none"/>
          <w:vertAlign w:val="baseline"/>
        </w:rPr>
        <w:t>(Lưu ý: Mức giá vốn COGS trên đã bao gồm chi phí nguyên vật liệu linh kiện và chi phí nhân công lắp ráp/đóng gói, nhưng chưa bao gồm chi phí vận chuyển và lắp đặt tận nơi cho khách hàng).</w:t>
      </w:r>
    </w:p>
    <w:p w14:paraId="5A38AE99">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Định hướng quản trị tài chính trong giai đoạn tới:</w:t>
      </w:r>
    </w:p>
    <w:p w14:paraId="1AC98BAA">
      <w:pPr>
        <w:keepNext w:val="0"/>
        <w:keepLines w:val="0"/>
        <w:widowControl/>
        <w:numPr>
          <w:ilvl w:val="0"/>
          <w:numId w:val="1"/>
        </w:numPr>
        <w:suppressLineNumbers w:val="0"/>
        <w:bidi w:val="0"/>
        <w:spacing w:before="0" w:beforeAutospacing="1" w:after="0" w:afterAutospacing="1"/>
        <w:ind w:left="1440" w:hanging="360"/>
        <w:textAlignment w:val="baseline"/>
        <w:rPr>
          <w:rFonts w:ascii="Arial" w:hAnsi="Arial" w:cs="Arial"/>
          <w:i w:val="0"/>
          <w:iCs w:val="0"/>
          <w:color w:val="000000"/>
          <w:sz w:val="24"/>
          <w:szCs w:val="24"/>
          <w:u w:val="none"/>
        </w:rPr>
      </w:pPr>
    </w:p>
    <w:p w14:paraId="689BEE58">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Chiến lược giá thâm nhập (Penetration Pricing) linh hoạt:</w:t>
      </w:r>
      <w:r>
        <w:rPr>
          <w:rFonts w:hint="default" w:ascii="Times New Roman" w:hAnsi="Times New Roman" w:cs="Times New Roman"/>
          <w:i w:val="0"/>
          <w:iCs w:val="0"/>
          <w:color w:val="000000"/>
          <w:sz w:val="24"/>
          <w:szCs w:val="24"/>
          <w:u w:val="none"/>
          <w:vertAlign w:val="baseline"/>
        </w:rPr>
        <w:t xml:space="preserve"> Việc áp dụng mức giá ưu đãi (như trường hợp giảm 50% cho Module 3) sẽ tiếp tục được áp dụng một cách chọn lọc cho 3-5 khách hàng B2B chiến lược đầu tiên. Chi phí chiết khấu này sẽ được hạch toán vào ngân sách Marketing &amp; R&amp;D nhằm đổi lấy dữ liệu môi trường, kiểm chứng độ bền cảm biến và tạo hiệu ứng truyền miệng (Referral).</w:t>
      </w:r>
    </w:p>
    <w:p w14:paraId="74CC4F8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E83748C">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C34FCBC">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Chiến lược "Lấy ngắn nuôi dài":</w:t>
      </w:r>
      <w:r>
        <w:rPr>
          <w:rFonts w:hint="default" w:ascii="Times New Roman" w:hAnsi="Times New Roman" w:cs="Times New Roman"/>
          <w:i w:val="0"/>
          <w:iCs w:val="0"/>
          <w:color w:val="000000"/>
          <w:sz w:val="24"/>
          <w:szCs w:val="24"/>
          <w:u w:val="none"/>
          <w:vertAlign w:val="baseline"/>
        </w:rPr>
        <w:t xml:space="preserve"> Thúc đẩy doanh số nhanh từ </w:t>
      </w:r>
      <w:r>
        <w:rPr>
          <w:rFonts w:hint="default" w:ascii="Times New Roman" w:hAnsi="Times New Roman" w:cs="Times New Roman"/>
          <w:b/>
          <w:bCs/>
          <w:i w:val="0"/>
          <w:iCs w:val="0"/>
          <w:color w:val="000000"/>
          <w:sz w:val="24"/>
          <w:szCs w:val="24"/>
          <w:u w:val="none"/>
          <w:vertAlign w:val="baseline"/>
        </w:rPr>
        <w:t>Module 2</w:t>
      </w:r>
      <w:r>
        <w:rPr>
          <w:rFonts w:hint="default" w:ascii="Times New Roman" w:hAnsi="Times New Roman" w:cs="Times New Roman"/>
          <w:i w:val="0"/>
          <w:iCs w:val="0"/>
          <w:color w:val="000000"/>
          <w:sz w:val="24"/>
          <w:szCs w:val="24"/>
          <w:u w:val="none"/>
          <w:vertAlign w:val="baseline"/>
        </w:rPr>
        <w:t xml:space="preserve"> (sản phẩm phễu với giá tiếp cận dưới 2 triệu đồng) để tạo dòng tiền mặt (Cash in) duy trì hoạt động (Runway), đồng thời tạo nguồn vốn tái đầu tư hoàn thiện phần mềm cho </w:t>
      </w:r>
      <w:r>
        <w:rPr>
          <w:rFonts w:hint="default" w:ascii="Times New Roman" w:hAnsi="Times New Roman" w:cs="Times New Roman"/>
          <w:b/>
          <w:bCs/>
          <w:i w:val="0"/>
          <w:iCs w:val="0"/>
          <w:color w:val="000000"/>
          <w:sz w:val="24"/>
          <w:szCs w:val="24"/>
          <w:u w:val="none"/>
          <w:vertAlign w:val="baseline"/>
        </w:rPr>
        <w:t>Module 1 &amp; 3</w:t>
      </w:r>
      <w:r>
        <w:rPr>
          <w:rFonts w:hint="default" w:ascii="Times New Roman" w:hAnsi="Times New Roman" w:cs="Times New Roman"/>
          <w:i w:val="0"/>
          <w:iCs w:val="0"/>
          <w:color w:val="000000"/>
          <w:sz w:val="24"/>
          <w:szCs w:val="24"/>
          <w:u w:val="none"/>
          <w:vertAlign w:val="baseline"/>
        </w:rPr>
        <w:t>.</w:t>
      </w:r>
    </w:p>
    <w:p w14:paraId="0B46090B">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B9220D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B7C1E1D">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Dịch chuyển cấu trúc doanh thu:</w:t>
      </w:r>
      <w:r>
        <w:rPr>
          <w:rFonts w:hint="default" w:ascii="Times New Roman" w:hAnsi="Times New Roman" w:cs="Times New Roman"/>
          <w:i w:val="0"/>
          <w:iCs w:val="0"/>
          <w:color w:val="000000"/>
          <w:sz w:val="24"/>
          <w:szCs w:val="24"/>
          <w:u w:val="none"/>
          <w:vertAlign w:val="baseline"/>
        </w:rPr>
        <w:t xml:space="preserve"> Trong tầm nhìn 1-3 năm, dự án sẽ giảm dần sự phụ thuộc vào biên lợi nhuận từ việc bán đứt phần cứng (One-time sales) và bắt đầu kích hoạt mô hình Thuê bao phần mềm (SaaS - Software as a Service), thu phí định kỳ từ việc lưu trữ dữ liệu đám mây, cảnh báo AI và bảo trì hệ thống.</w:t>
      </w:r>
    </w:p>
    <w:p w14:paraId="79B7D814">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1422EAF">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5.2 Dự báo Doanh thu (Revenue Forecast)</w:t>
      </w:r>
    </w:p>
    <w:p w14:paraId="2257D788">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Cơ cấu khách hàng được chia thành hai tệp chính: B2C (người dùng cá nhân mua Module 2 để canh tác đô thị) và B2B (các doanh nghiệp, resort, nông trại sinh thái mua hệ thống tích hợp Module 1 và 3).</w:t>
      </w:r>
    </w:p>
    <w:p w14:paraId="1F0D666F">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5.2: Dự báo Tăng trưởng Khách hàng và Doanh thu (2026 - 2028)</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4"/>
        <w:gridCol w:w="1096"/>
        <w:gridCol w:w="1819"/>
        <w:gridCol w:w="1629"/>
        <w:gridCol w:w="1893"/>
        <w:gridCol w:w="1919"/>
      </w:tblGrid>
      <w:tr w14:paraId="2B3BF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363C41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Period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E33148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B2C Users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A1FF0E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B2C Revenue (VND)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DA528D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B2B Enterprises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5F82EE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B2B Revenue (VND)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711761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Total Revenue (VND)</w:t>
            </w:r>
          </w:p>
        </w:tc>
      </w:tr>
      <w:tr w14:paraId="6E499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9F6E7E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2026 (Actual)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9CFE25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D8EEC6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1E1869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673886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BC42FA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r>
      <w:tr w14:paraId="2C1D4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BF5185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2027 (Target)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1EDF92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E89C4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19,500,000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327679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D546D0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155,400,000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AF56A2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174,900,000</w:t>
            </w:r>
          </w:p>
        </w:tc>
      </w:tr>
      <w:tr w14:paraId="5CDB5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79F1F5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2028 (Target)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03B2C1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7A96D8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39,000,000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4CC3EF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95A134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310,800,000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882F17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349,800,000</w:t>
            </w:r>
          </w:p>
        </w:tc>
      </w:tr>
    </w:tbl>
    <w:p w14:paraId="28D9F1EC">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Phân tích Chi tiết Lộ trình Tăng trưởng Doanh thu:</w:t>
      </w:r>
    </w:p>
    <w:p w14:paraId="4B303304">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3DB85BB">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Năm 2026 (Thực tế): Giai đoạn Thử nghiệm và Chuyển giao</w:t>
      </w:r>
      <w:r>
        <w:rPr>
          <w:rFonts w:hint="default" w:ascii="Times New Roman" w:hAnsi="Times New Roman" w:cs="Times New Roman"/>
          <w:i w:val="0"/>
          <w:iCs w:val="0"/>
          <w:color w:val="000000"/>
          <w:sz w:val="24"/>
          <w:szCs w:val="24"/>
          <w:u w:val="none"/>
          <w:vertAlign w:val="baseline"/>
        </w:rPr>
        <w:t xml:space="preserve"> Tính đến thời điểm hiện tại, dự án đang ghi nhận các con số phản ánh đúng thực tế của một startup R&amp;D phần cứng. Nhóm chưa thương mại hóa các sản phẩm B2C do dồn toàn lực vào việc hoàn thiện công nghệ. Điểm sáng duy nhất và cũng là quan trọng nhất là dự án đã chuyển giao thành công 01 hệ thống Module 3 cho khách hàng B2B đầu tiên (Mekong Silt Ecolodge). Mức giá thu về là 5.000.000 VNĐ (tương đương mức chiết khấu 50%) nhằm mục đích đổi lấy không gian làm "showcase" thực địa và thu thập dữ liệu vận hành thực tế. Tổng doanh thu năm 2026 dừng ở mức 5 triệu đồng, tuy khiêm tốn nhưng đã chứng minh được sự chấp nhận của thị trường (Product-Market Fit).</w:t>
      </w:r>
    </w:p>
    <w:p w14:paraId="78DB1DD9">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0FCC0D2">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740BD85">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Năm 2027 (Mục tiêu): Bước đầu Thương mại hóa</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Sau khi đã có "case-study" thực tế từ năm 2026, dự án bắt đầu phân bổ nguồn lực để bán hàng. Với mảng B2C, nhóm đặt mục tiêu tiếp cận 10 khách hàng đầu tiên (chủ yếu là nông hộ đô thị) để tạo dòng tiền ngắn hạn thử nghiệm thị trường, dự kiến mang về 19,5 triệu đồng. Mảng B2B tiếp tục là trọng tâm với mục tiêu ký kết 15 hợp đồng mới từ các khu du lịch sinh thái và nông trại lân cận (thu đúng giá niêm yết), đóng góp khoảng 155,4 triệu đồng. Tổng doanh thu mục tiêu của năm 2027 đạt 174,9 triệu đồng.</w:t>
      </w:r>
    </w:p>
    <w:p w14:paraId="6FA5A427">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8111E86">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5F2098D">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Năm 2028 (Mục tiêu): Tăng trưởng ổn định và Mở rộng mạng lưới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Năm 2028 tiếp tục duy trì chiến lược "tăng trưởng chậm mà chắc". Ở mảng B2C, số lượng khách hàng mục tiêu tăng gấp đôi lên 20 người dùng, tạo ra 39 triệu đồng doanh thu. Đối với mảng B2B, dự án dự kiến phục vụ 30 doanh nghiệp, mang lại 310,8 triệu đồng. Sự gia tăng này không đòi hỏi nhóm phải phình to bộ máy nhân sự đột ngột, mà có thể tối ưu bằng cách chuẩn hóa quy trình lắp đặt và bàn giao. Tổng doanh thu dự kiến đạt gần 350 triệu đồng, giúp dự án tạo ra thặng dư đủ để trang trải toàn bộ chi phí vận hành thường xuyên và có ngân sách tái đầu tư vào R&amp;D.</w:t>
      </w:r>
    </w:p>
    <w:p w14:paraId="65CD24B8">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45D1468">
      <w:pPr>
        <w:pStyle w:val="4"/>
        <w:keepNext w:val="0"/>
        <w:keepLines w:val="0"/>
        <w:widowControl/>
        <w:suppressLineNumbers w:val="0"/>
        <w:bidi w:val="0"/>
        <w:spacing w:before="28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5.3 Các giả định tăng trưởng và Cầu nối Doanh thu (Growth Assumptions &amp; Revenue Bridge)</w:t>
      </w:r>
    </w:p>
    <w:p w14:paraId="31A6A3BC">
      <w:pPr>
        <w:pStyle w:val="13"/>
        <w:keepNext w:val="0"/>
        <w:keepLines w:val="0"/>
        <w:widowControl/>
        <w:suppressLineNumbers w:val="0"/>
        <w:bidi w:val="0"/>
        <w:spacing w:before="24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Giả định Tăng trưởng Năm 2027</w:t>
      </w:r>
    </w:p>
    <w:p w14:paraId="2422FDA5">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62F5839">
      <w:pPr>
        <w:pStyle w:val="13"/>
        <w:keepNext w:val="0"/>
        <w:keepLines w:val="0"/>
        <w:widowControl/>
        <w:suppressLineNumbers w:val="0"/>
        <w:bidi w:val="0"/>
        <w:spacing w:before="24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B2C:</w:t>
      </w:r>
      <w:r>
        <w:rPr>
          <w:rFonts w:hint="default" w:ascii="Times New Roman" w:hAnsi="Times New Roman" w:cs="Times New Roman"/>
          <w:i w:val="0"/>
          <w:iCs w:val="0"/>
          <w:color w:val="000000"/>
          <w:sz w:val="24"/>
          <w:szCs w:val="24"/>
          <w:u w:val="none"/>
          <w:vertAlign w:val="baseline"/>
        </w:rPr>
        <w:t xml:space="preserve"> Tăng trưởng từ 0 lên 10 khách hàng trả phí (Module 2 - Hệ thống tưới rau). Kênh tiếp cận chủ yếu thông qua các sự kiện nông nghiệp địa phương tại Cần Thơ và tiếp thị truyền miệng (Referral), tương đương mục tiêu chốt khoảng ~1 hệ thống/tháng.</w:t>
      </w:r>
    </w:p>
    <w:p w14:paraId="299FE40E">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402E12C">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D9A20D0">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B2B:</w:t>
      </w:r>
      <w:r>
        <w:rPr>
          <w:rFonts w:hint="default" w:ascii="Times New Roman" w:hAnsi="Times New Roman" w:cs="Times New Roman"/>
          <w:i w:val="0"/>
          <w:iCs w:val="0"/>
          <w:color w:val="000000"/>
          <w:sz w:val="24"/>
          <w:szCs w:val="24"/>
          <w:u w:val="none"/>
          <w:vertAlign w:val="baseline"/>
        </w:rPr>
        <w:t xml:space="preserve"> Mở rộng từ 1 dự án thí điểm (Mekong Silt Ecolodge) lên 15 doanh nghiệp/nông trại sinh thái mới. Chiến lược tập trung khai thác các khu du lịch và resort sinh thái tại Cần Thơ và Hậu Giang. Bắt đầu thu 100% giá trị hợp đồng (không còn giảm 50% như năm 2026) dựa trên uy tín từ dự án thí điểm.</w:t>
      </w:r>
    </w:p>
    <w:p w14:paraId="73D5FDB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83074D5">
      <w:pPr>
        <w:pStyle w:val="13"/>
        <w:keepNext w:val="0"/>
        <w:keepLines w:val="0"/>
        <w:widowControl/>
        <w:suppressLineNumbers w:val="0"/>
        <w:bidi w:val="0"/>
        <w:spacing w:before="24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Giả định Tăng trưởng Năm 2028</w:t>
      </w:r>
    </w:p>
    <w:p w14:paraId="3C5CDE9A">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342706F">
      <w:pPr>
        <w:pStyle w:val="13"/>
        <w:keepNext w:val="0"/>
        <w:keepLines w:val="0"/>
        <w:widowControl/>
        <w:suppressLineNumbers w:val="0"/>
        <w:bidi w:val="0"/>
        <w:spacing w:before="24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B2C:</w:t>
      </w:r>
      <w:r>
        <w:rPr>
          <w:rFonts w:hint="default" w:ascii="Times New Roman" w:hAnsi="Times New Roman" w:cs="Times New Roman"/>
          <w:i w:val="0"/>
          <w:iCs w:val="0"/>
          <w:color w:val="000000"/>
          <w:sz w:val="24"/>
          <w:szCs w:val="24"/>
          <w:u w:val="none"/>
          <w:vertAlign w:val="baseline"/>
        </w:rPr>
        <w:t xml:space="preserve"> Tăng trưởng từ 10 lên 20 khách hàng trả phí thông qua việc xây dựng nội dung trên các nền tảng mạng xã hội (Facebook, TikTok) hướng dẫn trồng rau sân thượng tại đô thị.</w:t>
      </w:r>
    </w:p>
    <w:p w14:paraId="7269E4AF">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2AA0026">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1FBEA81">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B2B:</w:t>
      </w:r>
      <w:r>
        <w:rPr>
          <w:rFonts w:hint="default" w:ascii="Times New Roman" w:hAnsi="Times New Roman" w:cs="Times New Roman"/>
          <w:i w:val="0"/>
          <w:iCs w:val="0"/>
          <w:color w:val="000000"/>
          <w:sz w:val="24"/>
          <w:szCs w:val="24"/>
          <w:u w:val="none"/>
          <w:vertAlign w:val="baseline"/>
        </w:rPr>
        <w:t xml:space="preserve"> Mở rộng quy mô lên 30 doanh nghiệp/nông trại tại các tỉnh lân cận thuộc khu vực Đồng bằng sông Cửu Long (Đồng Tháp, Vĩnh Long, An Giang); bắt đầu có tỷ lệ khách hàng cũ nâng cấp hệ thống hoặc mua thêm các module phụ trợ.</w:t>
      </w:r>
    </w:p>
    <w:p w14:paraId="3B80F1F7">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3967196">
      <w:pPr>
        <w:pStyle w:val="5"/>
        <w:keepNext w:val="0"/>
        <w:keepLines w:val="0"/>
        <w:widowControl/>
        <w:suppressLineNumbers w:val="0"/>
        <w:bidi w:val="0"/>
        <w:spacing w:before="24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5.3.1 Cầu nối Doanh thu (Revenue Bridge): Từ 5.000.000 VNĐ (Thực tế 2026) lên 174.900.000 VNĐ (Mục tiêu 2027)</w:t>
      </w:r>
    </w:p>
    <w:p w14:paraId="45049E5E">
      <w:pPr>
        <w:pStyle w:val="13"/>
        <w:keepNext w:val="0"/>
        <w:keepLines w:val="0"/>
        <w:widowControl/>
        <w:suppressLineNumbers w:val="0"/>
        <w:bidi w:val="0"/>
        <w:spacing w:before="24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Để làm rõ mục tiêu năm 2027 một cách minh bạch và có thể kiểm chứng được, cầu nối doanh thu (Revenue Bridge) được phân tách thành các bước sau:</w:t>
      </w:r>
    </w:p>
    <w:p w14:paraId="5596734B">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407F3E9">
      <w:pPr>
        <w:pStyle w:val="13"/>
        <w:keepNext w:val="0"/>
        <w:keepLines w:val="0"/>
        <w:widowControl/>
        <w:suppressLineNumbers w:val="0"/>
        <w:bidi w:val="0"/>
        <w:spacing w:before="24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Bước 1 (Doanh thu B2C mới):</w:t>
      </w:r>
      <w:r>
        <w:rPr>
          <w:rFonts w:hint="default" w:ascii="Times New Roman" w:hAnsi="Times New Roman" w:cs="Times New Roman"/>
          <w:i w:val="0"/>
          <w:iCs w:val="0"/>
          <w:color w:val="000000"/>
          <w:sz w:val="24"/>
          <w:szCs w:val="24"/>
          <w:u w:val="none"/>
          <w:vertAlign w:val="baseline"/>
        </w:rPr>
        <w:t xml:space="preserve"> Cần tiếp cận và chuyển đổi thành công 10 khách hàng cá nhân mua Module 2; 10 người dùng x 1.950.000 VNĐ = 19.500.000 VNĐ doanh thu B2C tăng thêm.</w:t>
      </w:r>
    </w:p>
    <w:p w14:paraId="1D0AF5BE">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3C033DE">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8F82CF4">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Bước 2 (Doanh thu B2B mới):</w:t>
      </w:r>
      <w:r>
        <w:rPr>
          <w:rFonts w:hint="default" w:ascii="Times New Roman" w:hAnsi="Times New Roman" w:cs="Times New Roman"/>
          <w:i w:val="0"/>
          <w:iCs w:val="0"/>
          <w:color w:val="000000"/>
          <w:sz w:val="24"/>
          <w:szCs w:val="24"/>
          <w:u w:val="none"/>
          <w:vertAlign w:val="baseline"/>
        </w:rPr>
        <w:t xml:space="preserve"> Chốt hợp đồng lắp đặt hệ thống cho 15 doanh nghiệp/nông trại với cấu hình tương đương Module 3; 15 doanh nghiệp x 10.360.000 VNĐ = 155.400.000 VNĐ doanh thu B2B.</w:t>
      </w:r>
    </w:p>
    <w:p w14:paraId="769787B4">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9058457">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4046AD8">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Tổng cộng Cầu nối (Bridge total):</w:t>
      </w:r>
      <w:r>
        <w:rPr>
          <w:rFonts w:hint="default" w:ascii="Times New Roman" w:hAnsi="Times New Roman" w:cs="Times New Roman"/>
          <w:i w:val="0"/>
          <w:iCs w:val="0"/>
          <w:color w:val="000000"/>
          <w:sz w:val="24"/>
          <w:szCs w:val="24"/>
          <w:u w:val="none"/>
          <w:vertAlign w:val="baseline"/>
        </w:rPr>
        <w:t xml:space="preserve"> 19.500.000 (B2C) + 155.400.000 (B2B) = 174.900.000 VNĐ tổng doanh thu năm 2027.</w:t>
      </w:r>
    </w:p>
    <w:p w14:paraId="608C1C87">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555A614">
      <w:pPr>
        <w:pStyle w:val="13"/>
        <w:keepNext w:val="0"/>
        <w:keepLines w:val="0"/>
        <w:widowControl/>
        <w:suppressLineNumbers w:val="0"/>
        <w:bidi w:val="0"/>
        <w:spacing w:before="24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Giả định về tiến độ vận hành (Operational timing assumption) cho lộ trình 2027:</w:t>
      </w:r>
    </w:p>
    <w:p w14:paraId="4437F2B8">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532144C">
      <w:pPr>
        <w:pStyle w:val="13"/>
        <w:keepNext w:val="0"/>
        <w:keepLines w:val="0"/>
        <w:widowControl/>
        <w:suppressLineNumbers w:val="0"/>
        <w:bidi w:val="0"/>
        <w:spacing w:before="24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Quý 1/2027:</w:t>
      </w:r>
      <w:r>
        <w:rPr>
          <w:rFonts w:hint="default" w:ascii="Times New Roman" w:hAnsi="Times New Roman" w:cs="Times New Roman"/>
          <w:i w:val="0"/>
          <w:iCs w:val="0"/>
          <w:color w:val="000000"/>
          <w:sz w:val="24"/>
          <w:szCs w:val="24"/>
          <w:u w:val="none"/>
          <w:vertAlign w:val="baseline"/>
        </w:rPr>
        <w:t xml:space="preserve"> Chuẩn hóa quy trình lắp đặt dựa trên dữ liệu thu thập từ dự án thí điểm năm 2026; tập trung xây dựng danh sách khách hàng tiềm năng (pipeline building).</w:t>
      </w:r>
    </w:p>
    <w:p w14:paraId="767B16C2">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7008EF6">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4F2D6F2">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Quý 2/2027:</w:t>
      </w:r>
      <w:r>
        <w:rPr>
          <w:rFonts w:hint="default" w:ascii="Times New Roman" w:hAnsi="Times New Roman" w:cs="Times New Roman"/>
          <w:i w:val="0"/>
          <w:iCs w:val="0"/>
          <w:color w:val="000000"/>
          <w:sz w:val="24"/>
          <w:szCs w:val="24"/>
          <w:u w:val="none"/>
          <w:vertAlign w:val="baseline"/>
        </w:rPr>
        <w:t xml:space="preserve"> Triển khai lắp đặt những hệ thống B2C đầu tiên và chốt 3-4 hợp đồng B2B sớm thông qua mạng lưới quan hệ từ khách hàng cũ.</w:t>
      </w:r>
    </w:p>
    <w:p w14:paraId="7CDA0394">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997C792">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8180EA8">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Quý 3/2027:</w:t>
      </w:r>
      <w:r>
        <w:rPr>
          <w:rFonts w:hint="default" w:ascii="Times New Roman" w:hAnsi="Times New Roman" w:cs="Times New Roman"/>
          <w:i w:val="0"/>
          <w:iCs w:val="0"/>
          <w:color w:val="000000"/>
          <w:sz w:val="24"/>
          <w:szCs w:val="24"/>
          <w:u w:val="none"/>
          <w:vertAlign w:val="baseline"/>
        </w:rPr>
        <w:t xml:space="preserve"> Đẩy mạnh bán hàng, nghiệm thu các đợt lắp đặt lớn cho B2B trước mùa cao điểm cuối năm.</w:t>
      </w:r>
    </w:p>
    <w:p w14:paraId="28BD80F3">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53A2000">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ED6836D">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Quý 4/2027:</w:t>
      </w:r>
      <w:r>
        <w:rPr>
          <w:rFonts w:hint="default" w:ascii="Times New Roman" w:hAnsi="Times New Roman" w:cs="Times New Roman"/>
          <w:i w:val="0"/>
          <w:iCs w:val="0"/>
          <w:color w:val="000000"/>
          <w:sz w:val="24"/>
          <w:szCs w:val="24"/>
          <w:u w:val="none"/>
          <w:vertAlign w:val="baseline"/>
        </w:rPr>
        <w:t xml:space="preserve"> Hoàn thành các hợp đồng còn lại, chốt sổ mục tiêu 25 khách hàng (10 B2C + 15 B2B) và chuẩn bị kế hoạch vật tư cho năm 2028.</w:t>
      </w:r>
    </w:p>
    <w:p w14:paraId="01727F8A">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24A6830">
      <w:pPr>
        <w:pStyle w:val="5"/>
        <w:keepNext w:val="0"/>
        <w:keepLines w:val="0"/>
        <w:widowControl/>
        <w:suppressLineNumbers w:val="0"/>
        <w:bidi w:val="0"/>
        <w:spacing w:before="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5.4 Cấu trúc Chi phí (Cost Structure)</w:t>
      </w:r>
    </w:p>
    <w:p w14:paraId="42DCB089">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Cấu trúc chi phí của TrangHerb EcoTech trong giai đoạn 2026–2027 được thiết kế theo mô hình tinh gọn (Lean), nhằm giảm thiểu tối đa rủi ro "đốt tiền" (cash burn) trong khi vẫn đảm bảo ngân sách để sản xuất phần cứng và mở rộng thị trường.</w:t>
      </w:r>
    </w:p>
    <w:p w14:paraId="7A02B55B">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iCs/>
          <w:color w:val="000000"/>
          <w:sz w:val="24"/>
          <w:szCs w:val="24"/>
          <w:u w:val="none"/>
          <w:vertAlign w:val="baseline"/>
        </w:rPr>
        <w:t>(Ghi chú tính toán COGS năm 2027: Chi phí phần cứng dựa trên mục tiêu bán 10 Module 2 [650.000 VNĐ/bộ] và 15 Module 3 [3.454.963 VNĐ/bộ]).</w:t>
      </w:r>
    </w:p>
    <w:p w14:paraId="13CD6790">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5.4: Cấu trúc Chi phí 2026–2027</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9"/>
        <w:gridCol w:w="1566"/>
        <w:gridCol w:w="1571"/>
        <w:gridCol w:w="1690"/>
        <w:gridCol w:w="2814"/>
      </w:tblGrid>
      <w:tr w14:paraId="1B0C3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9F1AB7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Hạng mục Chi phí (Cost Category)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48DDF7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Phân loại (Type)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30D250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2026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159D12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2027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440855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Ghi chú (Notes)</w:t>
            </w:r>
          </w:p>
        </w:tc>
      </w:tr>
      <w:tr w14:paraId="5A19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2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62887E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Sản xuất phần cứng (Hardware production)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E05F7F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Biến đổi (Variable)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E34D40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061AD5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~58.350.000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3658DB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2026 bao gồm chi phí R&amp;D và 1 bộ Module 3; 2027 tính theo COGS thực tế của 25 thiết bị.</w:t>
            </w:r>
          </w:p>
        </w:tc>
      </w:tr>
      <w:tr w14:paraId="73F67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2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37124D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Marketing &amp; Bán hàng (Marketing and sales)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B96CBF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Bán biến đổi (Semi-variable)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D43F8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7061B0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1E5A45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phí tham gia sự kiện nông nghiệp, sản xuất nội dung, ấn phẩm B2B.</w:t>
            </w:r>
          </w:p>
        </w:tc>
      </w:tr>
      <w:tr w14:paraId="79A20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9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2A0D65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Hạ tầng Cloud &amp; Phần mềm (Cloud &amp; Software)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2FC671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Cố định (Fixed)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B28EE4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1FB8FE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5FE4EA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phí server duy trì web/app, lưu trữ dữ liệu IoT (AWS/Firebase) và phí duy trì tên miền.</w:t>
            </w:r>
          </w:p>
        </w:tc>
      </w:tr>
      <w:tr w14:paraId="747B0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3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015F21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Vận hành &amp; Logistics (Operations and logistics)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58D08A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Biến đổi (Variable)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4DEE1C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B7BF15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81EF93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phí vận chuyển vật tư, đi lại khảo sát và lắp đặt tận nơi tại ĐBSCL.</w:t>
            </w:r>
          </w:p>
        </w:tc>
      </w:tr>
      <w:tr w14:paraId="0C793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3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8C386C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Dự phòng rủi ro (Contingency - 10%)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A5A03D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83C57F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8AD991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~9.300.000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155C4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Dự phòng hao hụt linh kiện, cảm biến lỗi hoặc phát sinh khi lắp đặt.</w:t>
            </w:r>
          </w:p>
        </w:tc>
      </w:tr>
      <w:tr w14:paraId="2290D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3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38990C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Tổng Chi phí Vận hành (Total Operating Costs)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0C4D5FA">
            <w:pPr>
              <w:keepNext w:val="0"/>
              <w:keepLines w:val="0"/>
              <w:widowControl/>
              <w:suppressLineNumbers w:val="0"/>
              <w:bidi w:val="0"/>
              <w:jc w:val="left"/>
              <w:textAlignment w:val="top"/>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7E3CE0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~22.000.000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8FB52B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~102.650.000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68A0769">
            <w:pPr>
              <w:keepNext w:val="0"/>
              <w:keepLines w:val="0"/>
              <w:widowControl/>
              <w:suppressLineNumbers w:val="0"/>
              <w:bidi w:val="0"/>
              <w:jc w:val="left"/>
              <w:textAlignment w:val="top"/>
            </w:pPr>
          </w:p>
        </w:tc>
      </w:tr>
    </w:tbl>
    <w:p w14:paraId="161EBDB5">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Ghi chú về cơ cấu chi phí Marketing (Marketing cost composition):</w:t>
      </w:r>
    </w:p>
    <w:p w14:paraId="13BB1857">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Trong tổng ngân sách 20.000.000 VNĐ dành cho Marketing năm 2027, dự án sẽ giới hạn chi phí tham gia các sự kiện/hội chợ nông nghiệp truyền thống ở mức tối đa 40% (khoảng 8.000.000 VNĐ) do chi phí tiếp cận khách hàng (CAC) qua kênh này khá cao. 60% ngân sách còn lại (12.000.000 VNĐ) sẽ được phân bổ cho việc sản xuất nội dung số (Digital content) trên nền tảng TikTok/Facebook và xây dựng các tài liệu bán hàng (Sales Kit) chuyên sâu cho khách hàng doanh nghiệp B2B. Sự điều chỉnh này giúp dự án tiếp cận tệp khách hàng B2C (nông nghiệp đô thị) với chi phí rẻ hơn nhiều, đồng thời giữ lại ngân sách sự kiện chỉ cho những điểm chạm có tỷ lệ chuyển đổi cao với các đối tác Resort/Nông trại lớn.</w:t>
      </w:r>
    </w:p>
    <w:p w14:paraId="53854DE0">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Đặc điểm cấu trúc chi phí (Cost structure characteristics):</w:t>
      </w:r>
    </w:p>
    <w:p w14:paraId="670D1A97">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ED811AF">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Không có chi phí thuê văn phòng (No office rental costs):</w:t>
      </w:r>
      <w:r>
        <w:rPr>
          <w:rFonts w:hint="default" w:ascii="Times New Roman" w:hAnsi="Times New Roman" w:cs="Times New Roman"/>
          <w:i w:val="0"/>
          <w:iCs w:val="0"/>
          <w:color w:val="000000"/>
          <w:sz w:val="24"/>
          <w:szCs w:val="24"/>
          <w:u w:val="none"/>
          <w:vertAlign w:val="baseline"/>
        </w:rPr>
        <w:t xml:space="preserve"> Đội ngũ tận dụng phòng thí nghiệm của trường Đại học hoặc làm việc theo mô hình linh hoạt (Remote-first) để R&amp;D và lắp ráp phần cứng.</w:t>
      </w:r>
    </w:p>
    <w:p w14:paraId="7C9B7D1F">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54B1FC6">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166DA42">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Không có quỹ lương cố định giai đoạn đầu (No salary expenses at current stage):</w:t>
      </w:r>
      <w:r>
        <w:rPr>
          <w:rFonts w:hint="default" w:ascii="Times New Roman" w:hAnsi="Times New Roman" w:cs="Times New Roman"/>
          <w:i w:val="0"/>
          <w:iCs w:val="0"/>
          <w:color w:val="000000"/>
          <w:sz w:val="24"/>
          <w:szCs w:val="24"/>
          <w:u w:val="none"/>
          <w:vertAlign w:val="baseline"/>
        </w:rPr>
        <w:t xml:space="preserve"> Đội ngũ sáng lập được bù đắp thông qua cổ phần (equity) và nguồn vốn từ các giải thưởng khởi nghiệp, giúp giảm áp lực dòng tiền hàng tháng.</w:t>
      </w:r>
    </w:p>
    <w:p w14:paraId="23369BF8">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736A34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4834594">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Chi phí hạ tầng phần mềm cực thấp (Low software infrastructure costs):</w:t>
      </w:r>
      <w:r>
        <w:rPr>
          <w:rFonts w:hint="default" w:ascii="Times New Roman" w:hAnsi="Times New Roman" w:cs="Times New Roman"/>
          <w:i w:val="0"/>
          <w:iCs w:val="0"/>
          <w:color w:val="000000"/>
          <w:sz w:val="24"/>
          <w:szCs w:val="24"/>
          <w:u w:val="none"/>
          <w:vertAlign w:val="baseline"/>
        </w:rPr>
        <w:t xml:space="preserve"> Nhờ tận dụng các gói dịch vụ đám mây miễn phí hoặc trả phí linh hoạt theo mức sử dụng thực tế (Serverless/Pay-as-you-go) cho hệ thống IoT.</w:t>
      </w:r>
    </w:p>
    <w:p w14:paraId="7BC6C165">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20B9B60">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2371F7E">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Biên lợi nhuận gộp:</w:t>
      </w:r>
      <w:r>
        <w:rPr>
          <w:rFonts w:hint="default" w:ascii="Times New Roman" w:hAnsi="Times New Roman" w:cs="Times New Roman"/>
          <w:i w:val="0"/>
          <w:iCs w:val="0"/>
          <w:color w:val="000000"/>
          <w:sz w:val="24"/>
          <w:szCs w:val="24"/>
          <w:u w:val="none"/>
          <w:vertAlign w:val="baseline"/>
        </w:rPr>
        <w:t xml:space="preserve"> Với tổng doanh thu mục tiêu 2027 là 174.900.000 VNĐ và tổng chi phí vận hành khoảng 102.650.000 VNĐ, dự án dự kiến sẽ ghi nhận mức lợi nhuận dương ngay trong năm thứ 2 thương mại hóa.</w:t>
      </w:r>
    </w:p>
    <w:p w14:paraId="139AE5C3">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8A290DB">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5.5 Phân tích Khả năng Sinh lời (Profitability Analysis)</w:t>
      </w:r>
    </w:p>
    <w:p w14:paraId="0FEC7F04">
      <w:pPr>
        <w:pStyle w:val="5"/>
        <w:keepNext w:val="0"/>
        <w:keepLines w:val="0"/>
        <w:widowControl/>
        <w:suppressLineNumbers w:val="0"/>
        <w:bidi w:val="0"/>
        <w:spacing w:before="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5.5.1 Biên Lợi nhuận Gộp theo Phân khúc (Gross Margin by Segment)</w:t>
      </w:r>
    </w:p>
    <w:p w14:paraId="38D51FF3">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5.5.1: Biên Lợi nhuận Gộp theo Phân khúc</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4"/>
        <w:gridCol w:w="2907"/>
        <w:gridCol w:w="2044"/>
        <w:gridCol w:w="2315"/>
      </w:tblGrid>
      <w:tr w14:paraId="5E9EC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638A69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Phân khúc (Segment)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166632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Doanh thu trên một Đơn vị (Revenue per Unit)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8CE9C1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Giá vốn (COGS per Unit)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D84CB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Biên Lợi nhuận Gộp (Gross Margin)</w:t>
            </w:r>
          </w:p>
        </w:tc>
      </w:tr>
      <w:tr w14:paraId="13B36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32217E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B2C — Module 2 (Hệ thống tưới)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C7C5D7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1.950.000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5080A8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~650.000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8923E9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~67%</w:t>
            </w:r>
          </w:p>
        </w:tc>
      </w:tr>
      <w:tr w14:paraId="0119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184961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B2B — Module 3 (Bán thương mại)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8ADC35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10.360.000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CE8DA1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~3.455.000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2ACF98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~67%</w:t>
            </w:r>
          </w:p>
        </w:tc>
      </w:tr>
      <w:tr w14:paraId="06B2A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35852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B2B — Pilot 2026 (Chiết khấu 50%)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1FBE2F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68B15C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~3.455.000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DA9642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~31%</w:t>
            </w:r>
          </w:p>
        </w:tc>
      </w:tr>
    </w:tbl>
    <w:p w14:paraId="0531B0F5">
      <w:pPr>
        <w:keepNext w:val="0"/>
        <w:keepLines w:val="0"/>
        <w:widowControl/>
        <w:suppressLineNumbers w:val="0"/>
        <w:jc w:val="left"/>
      </w:pPr>
    </w:p>
    <w:p w14:paraId="39232113">
      <w:pPr>
        <w:pStyle w:val="5"/>
        <w:keepNext w:val="0"/>
        <w:keepLines w:val="0"/>
        <w:widowControl/>
        <w:suppressLineNumbers w:val="0"/>
        <w:bidi w:val="0"/>
        <w:spacing w:before="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5.5.2 Dự phóng Lợi nhuận Gộp (Gross Profit Projection)</w:t>
      </w:r>
    </w:p>
    <w:p w14:paraId="7BD907F5">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iCs/>
          <w:color w:val="000000"/>
          <w:sz w:val="24"/>
          <w:szCs w:val="24"/>
          <w:u w:val="none"/>
          <w:vertAlign w:val="baseline"/>
        </w:rPr>
        <w:t>(Lưu ý: Chi phí Vận hành - Operating Costs dưới đây chỉ bao gồm các chi phí Marketing, Hạ tầng, Vận hành và Dự phòng; đã bóc tách Giá vốn hàng bán - COGS).</w:t>
      </w:r>
    </w:p>
    <w:p w14:paraId="6A36F107">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5.5.2: Dự phóng Lợi nhuận Gộp 2026–2028</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7"/>
        <w:gridCol w:w="1627"/>
        <w:gridCol w:w="1510"/>
        <w:gridCol w:w="1807"/>
        <w:gridCol w:w="1808"/>
        <w:gridCol w:w="1941"/>
      </w:tblGrid>
      <w:tr w14:paraId="6F0A8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2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C715AA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Năm (Year)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1B9EF2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Doanh thu (Revenue)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673267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Biên Lợi nhuận Gộp (Blended Gross Margin)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E06BD8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Lợi nhuận Gộp (Gross Profit)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B43B54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phí Vận hành (Operating Costs - OPEX)</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7F819C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Kết quả Vận hành Ròng (Net Operating Result)</w:t>
            </w:r>
          </w:p>
        </w:tc>
      </w:tr>
      <w:tr w14:paraId="3A7D9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C57696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32398C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5650F2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~31% (Giá Pilot)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9C7C23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~1.545.000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BD3B40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~18.545.000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21F6B8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 (17.000.000) VNĐ</w:t>
            </w:r>
          </w:p>
        </w:tc>
      </w:tr>
      <w:tr w14:paraId="1179F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EDEF9F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1A629F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174.900.000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3B76E7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E83923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~116.550.000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6B6983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~44.300.000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41EC2C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~72.250.000 VNĐ</w:t>
            </w:r>
          </w:p>
        </w:tc>
      </w:tr>
      <w:tr w14:paraId="267B2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E2DEBD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2028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454C51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349.800.000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5FE5EE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05E69B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~233.150.000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7532C3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~65.000.000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5D312E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~168.150.000 VNĐ</w:t>
            </w:r>
          </w:p>
        </w:tc>
      </w:tr>
    </w:tbl>
    <w:p w14:paraId="733B149E">
      <w:pPr>
        <w:keepNext w:val="0"/>
        <w:keepLines w:val="0"/>
        <w:widowControl/>
        <w:suppressLineNumbers w:val="0"/>
        <w:spacing w:after="240" w:afterAutospacing="0"/>
        <w:jc w:val="left"/>
      </w:pPr>
    </w:p>
    <w:p w14:paraId="271EC2B4">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Diễn giải (Interpretation):</w:t>
      </w:r>
    </w:p>
    <w:p w14:paraId="44E0FA67">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A3B7794">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2026 là năm đầu tư (Investment year):</w:t>
      </w:r>
      <w:r>
        <w:rPr>
          <w:rFonts w:hint="default" w:ascii="Times New Roman" w:hAnsi="Times New Roman" w:cs="Times New Roman"/>
          <w:i w:val="0"/>
          <w:iCs w:val="0"/>
          <w:color w:val="000000"/>
          <w:sz w:val="24"/>
          <w:szCs w:val="24"/>
          <w:u w:val="none"/>
          <w:vertAlign w:val="baseline"/>
        </w:rPr>
        <w:t xml:space="preserve"> Chi phí vượt quá doanh thu do nhóm dồn nguồn lực vào phát triển phần cứng và triển khai dự án thí điểm với giá chiết khấu. Mức âm 17.000.000 VNĐ đã được dự trù trong ngân sách khởi nghiệp.</w:t>
      </w:r>
    </w:p>
    <w:p w14:paraId="2EFD0EF2">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A3BF3FF">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8C5215D">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2027 bắt đầu sinh lời (Substantial profitability):</w:t>
      </w:r>
      <w:r>
        <w:rPr>
          <w:rFonts w:hint="default" w:ascii="Times New Roman" w:hAnsi="Times New Roman" w:cs="Times New Roman"/>
          <w:i w:val="0"/>
          <w:iCs w:val="0"/>
          <w:color w:val="000000"/>
          <w:sz w:val="24"/>
          <w:szCs w:val="24"/>
          <w:u w:val="none"/>
          <w:vertAlign w:val="baseline"/>
        </w:rPr>
        <w:t xml:space="preserve"> Đạt mức lợi nhuận ròng 72.250.000 VNĐ nhờ việc chuẩn hóa giá bán B2B, tương đương biên lợi nhuận hoạt động (operating margin) đạt ~41%.</w:t>
      </w:r>
    </w:p>
    <w:p w14:paraId="6C24F4C2">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20327C7">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1AB632D">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2028 mở rộng biên lợi nhuận (Margin expansion):</w:t>
      </w:r>
      <w:r>
        <w:rPr>
          <w:rFonts w:hint="default" w:ascii="Times New Roman" w:hAnsi="Times New Roman" w:cs="Times New Roman"/>
          <w:i w:val="0"/>
          <w:iCs w:val="0"/>
          <w:color w:val="000000"/>
          <w:sz w:val="24"/>
          <w:szCs w:val="24"/>
          <w:u w:val="none"/>
          <w:vertAlign w:val="baseline"/>
        </w:rPr>
        <w:t xml:space="preserve"> Doanh thu tăng trưởng gấp đôi nhưng chi phí vận hành cố định không tăng theo tỷ lệ thuận (chỉ tăng nhẹ ngân sách Marketing và di chuyển). Nhờ đó, lợi nhuận ròng vọt lên ~168.150.000 VNĐ (biên lợi nhuận hoạt động đạt ~48%), tạo nền tảng vốn tái đầu tư mạnh mẽ.</w:t>
      </w:r>
    </w:p>
    <w:p w14:paraId="3FB66E50">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55E2BD4">
      <w:pPr>
        <w:pStyle w:val="5"/>
        <w:keepNext w:val="0"/>
        <w:keepLines w:val="0"/>
        <w:widowControl/>
        <w:suppressLineNumbers w:val="0"/>
        <w:bidi w:val="0"/>
        <w:spacing w:before="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5.5.3 Phân tích Điểm Hòa vốn (Break-Even Analysis)</w:t>
      </w:r>
    </w:p>
    <w:p w14:paraId="4BFCDBDC">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Điểm hòa vốn mảng B2C (B2C Break-Even - standalone):</w:t>
      </w:r>
    </w:p>
    <w:p w14:paraId="6D88A621">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702C239">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Chi phí cố định phân bổ cho B2C: ~15.000.000 VNĐ (Ngân sách Digital Marketing + hạ tầng Cloud).</w:t>
      </w:r>
    </w:p>
    <w:p w14:paraId="0C030DFC">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F909F6A">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557853C">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Lợi nhuận gộp trên mỗi khách hàng (Module 2): ~1.300.000 VNĐ.</w:t>
      </w:r>
    </w:p>
    <w:p w14:paraId="7F0704C0">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D2C431A">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0B66B6C">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 xml:space="preserve">Số lượng người dùng để hòa vốn: </w:t>
      </w:r>
      <w:r>
        <w:rPr>
          <w:rFonts w:hint="default" w:ascii="Times New Roman" w:hAnsi="Times New Roman" w:cs="Times New Roman"/>
          <w:b/>
          <w:bCs/>
          <w:i w:val="0"/>
          <w:iCs w:val="0"/>
          <w:color w:val="000000"/>
          <w:sz w:val="24"/>
          <w:szCs w:val="24"/>
          <w:u w:val="none"/>
          <w:vertAlign w:val="baseline"/>
        </w:rPr>
        <w:t>~12 khách hàng.</w:t>
      </w:r>
    </w:p>
    <w:p w14:paraId="08640713">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EEFABED">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3A23475">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i w:val="0"/>
          <w:iCs w:val="0"/>
          <w:color w:val="000000"/>
          <w:sz w:val="24"/>
          <w:szCs w:val="24"/>
          <w:u w:val="none"/>
          <w:vertAlign w:val="baseline"/>
        </w:rPr>
        <w:t xml:space="preserve">Thời gian dự kiến đạt điểm hòa vốn B2C: </w:t>
      </w:r>
      <w:r>
        <w:rPr>
          <w:rFonts w:hint="default" w:ascii="Times New Roman" w:hAnsi="Times New Roman" w:cs="Times New Roman"/>
          <w:b/>
          <w:bCs/>
          <w:i w:val="0"/>
          <w:iCs w:val="0"/>
          <w:color w:val="000000"/>
          <w:sz w:val="24"/>
          <w:szCs w:val="24"/>
          <w:u w:val="none"/>
          <w:vertAlign w:val="baseline"/>
        </w:rPr>
        <w:t>Quý 3 – Quý 4 năm 2027.</w:t>
      </w:r>
    </w:p>
    <w:p w14:paraId="22EE0DE7">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887656F">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Điểm hòa vốn mảng B2B (B2B Break-Even - standalone):</w:t>
      </w:r>
    </w:p>
    <w:p w14:paraId="307083CD">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A3FF206">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Chi phí cố định phân bổ cho B2B: ~29.300.000 VNĐ (Sales kit, chi phí di chuyển khảo sát và dự phòng lắp đặt).</w:t>
      </w:r>
    </w:p>
    <w:p w14:paraId="2DDED226">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3F2848E">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DDF8157">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Lợi nhuận gộp trên mỗi hệ thống (Module 3): ~6.905.000 VNĐ.</w:t>
      </w:r>
    </w:p>
    <w:p w14:paraId="6FD552C2">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81384A1">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47DECD4">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 xml:space="preserve">Số lượng hợp đồng để hòa vốn: </w:t>
      </w:r>
      <w:r>
        <w:rPr>
          <w:rFonts w:hint="default" w:ascii="Times New Roman" w:hAnsi="Times New Roman" w:cs="Times New Roman"/>
          <w:b/>
          <w:bCs/>
          <w:i w:val="0"/>
          <w:iCs w:val="0"/>
          <w:color w:val="000000"/>
          <w:sz w:val="24"/>
          <w:szCs w:val="24"/>
          <w:u w:val="none"/>
          <w:vertAlign w:val="baseline"/>
        </w:rPr>
        <w:t>~5 doanh nghiệp/nông trại.</w:t>
      </w:r>
    </w:p>
    <w:p w14:paraId="558D2D5A">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054C30F">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DFBF3F7">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i w:val="0"/>
          <w:iCs w:val="0"/>
          <w:color w:val="000000"/>
          <w:sz w:val="24"/>
          <w:szCs w:val="24"/>
          <w:u w:val="none"/>
          <w:vertAlign w:val="baseline"/>
        </w:rPr>
        <w:t xml:space="preserve">Thời gian dự kiến đạt điểm hòa vốn B2B: </w:t>
      </w:r>
      <w:r>
        <w:rPr>
          <w:rFonts w:hint="default" w:ascii="Times New Roman" w:hAnsi="Times New Roman" w:cs="Times New Roman"/>
          <w:b/>
          <w:bCs/>
          <w:i w:val="0"/>
          <w:iCs w:val="0"/>
          <w:color w:val="000000"/>
          <w:sz w:val="24"/>
          <w:szCs w:val="24"/>
          <w:u w:val="none"/>
          <w:vertAlign w:val="baseline"/>
        </w:rPr>
        <w:t>Quý 2 năm 2027</w:t>
      </w:r>
      <w:r>
        <w:rPr>
          <w:rFonts w:hint="default" w:ascii="Times New Roman" w:hAnsi="Times New Roman" w:cs="Times New Roman"/>
          <w:i w:val="0"/>
          <w:iCs w:val="0"/>
          <w:color w:val="000000"/>
          <w:sz w:val="24"/>
          <w:szCs w:val="24"/>
          <w:u w:val="none"/>
          <w:vertAlign w:val="baseline"/>
        </w:rPr>
        <w:t xml:space="preserve"> (Sau khi triển khai thành công những hợp đồng thương mại đầu tiên).</w:t>
      </w:r>
    </w:p>
    <w:p w14:paraId="79F4DAAB">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37A6D46">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5.6 Cân đối Dòng tiền (Cash Flow Considerations)</w:t>
      </w:r>
    </w:p>
    <w:p w14:paraId="65787582">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5.6: Cân đối Dòng tiền dự kiến (Q2/2026 - Q2/2027)</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4"/>
        <w:gridCol w:w="2781"/>
        <w:gridCol w:w="2791"/>
        <w:gridCol w:w="2574"/>
      </w:tblGrid>
      <w:tr w14:paraId="514C7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FCBA2A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Quý (Quarter)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7569B4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Dòng tiền Vào dự kiến (Expected Cash In -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E1C3C5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Dòng tiền Ra dự kiến (Expected Cash Out -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C96564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Dòng tiền Thuần (Net Cash Flow - VNĐ)</w:t>
            </w:r>
          </w:p>
        </w:tc>
      </w:tr>
      <w:tr w14:paraId="02596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741CE3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Q2 2026 (Thực tế)</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233E9B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ABB87F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540FCF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r>
      <w:tr w14:paraId="3CF92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2D3A95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Q3 2026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D4131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7142A4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7.000.000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058955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(7.000.000)</w:t>
            </w:r>
          </w:p>
        </w:tc>
      </w:tr>
      <w:tr w14:paraId="4E805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B73C4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Q4 2026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0CC77B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01C720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245222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w:t>
            </w:r>
          </w:p>
        </w:tc>
      </w:tr>
      <w:tr w14:paraId="78114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058F4C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Q1 2027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3FBB0C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719FE6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E8A4B2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w:t>
            </w:r>
          </w:p>
        </w:tc>
      </w:tr>
      <w:tr w14:paraId="6F05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F21C1A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Q2 2027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78CFE1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45.000.000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05B6C8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45C817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+20.000.000</w:t>
            </w:r>
          </w:p>
        </w:tc>
      </w:tr>
    </w:tbl>
    <w:p w14:paraId="39B00B0E">
      <w:pPr>
        <w:keepNext w:val="0"/>
        <w:keepLines w:val="0"/>
        <w:widowControl/>
        <w:suppressLineNumbers w:val="0"/>
        <w:jc w:val="left"/>
      </w:pPr>
    </w:p>
    <w:p w14:paraId="498CEFC6">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Diễn giải dòng tiền:</w:t>
      </w:r>
    </w:p>
    <w:p w14:paraId="32E6CF01">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Dòng tiền âm trong suốt các quý của năm 2026 là do dự án chưa tập trung bán hàng thương mại mà dồn nguồn lực trả trước cho chi phí linh kiện phần cứng (Hardware R&amp;D) và thiết lập dự án thí điểm. Bắt đầu từ Q1/2027, dòng tiền chuyển sang trạng thái dương khi các hợp đồng B2B thương mại đầu tiên được nghiệm thu và mảng B2C bắt đầu tạo ra doanh thu gối đầu ổn định.</w:t>
      </w:r>
    </w:p>
    <w:p w14:paraId="60C2D59D">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5.7 Nhu cầu Gọi vốn (Funding Requirements)</w:t>
      </w:r>
    </w:p>
    <w:p w14:paraId="7A82465C">
      <w:pPr>
        <w:pStyle w:val="5"/>
        <w:keepNext w:val="0"/>
        <w:keepLines w:val="0"/>
        <w:widowControl/>
        <w:suppressLineNumbers w:val="0"/>
        <w:bidi w:val="0"/>
        <w:spacing w:before="0" w:beforeAutospacing="0" w:after="40" w:afterAutospacing="0" w:line="14" w:lineRule="atLeast"/>
        <w:jc w:val="both"/>
      </w:pPr>
      <w:r>
        <w:rPr>
          <w:rFonts w:hint="default" w:ascii="Times New Roman" w:hAnsi="Times New Roman" w:cs="Times New Roman"/>
          <w:b/>
          <w:bCs/>
          <w:i w:val="0"/>
          <w:iCs w:val="0"/>
          <w:color w:val="000000"/>
          <w:sz w:val="24"/>
          <w:szCs w:val="24"/>
          <w:u w:val="none"/>
          <w:vertAlign w:val="baseline"/>
        </w:rPr>
        <w:t>5.7.1 Đề xuất Gọi vốn (Funding Ask)</w:t>
      </w:r>
    </w:p>
    <w:p w14:paraId="29D5B223">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5.7: Chi tiết Đề xuất Gọi vốn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51"/>
        <w:gridCol w:w="5369"/>
      </w:tblGrid>
      <w:tr w14:paraId="57E80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234404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Thông số (Parameter)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98C1DC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tiết (Detail)</w:t>
            </w:r>
          </w:p>
        </w:tc>
      </w:tr>
      <w:tr w14:paraId="3B2BE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CEBC93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Tổng số vốn kêu gọi (Total funding requested)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F3D984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100.000.000 VNĐ</w:t>
            </w:r>
          </w:p>
        </w:tc>
      </w:tr>
      <w:tr w14:paraId="48F7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30C486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Thời gian giải ngân dự kiến (Duration)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D9A7E3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24 tháng (Bao phủ giai đoạn 2026–2028)</w:t>
            </w:r>
          </w:p>
        </w:tc>
      </w:tr>
      <w:tr w14:paraId="4CE5B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040D4A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Hình thức đầu tư (Type)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C8B313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Cổ phần (Equity) hoặc Trái phiếu chuyển đổi (Convertible note)</w:t>
            </w:r>
          </w:p>
        </w:tc>
      </w:tr>
      <w:tr w14:paraId="607E3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926FC7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Vòng gọi vốn (Stage)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025F77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Pre-seed / Sinh viên khởi nghiệp</w:t>
            </w:r>
          </w:p>
        </w:tc>
      </w:tr>
      <w:tr w14:paraId="398F5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2679E7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Định giá trước gọi vốn (Proposed pre-money valuation)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E91F71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500.000.000 VNĐ</w:t>
            </w:r>
          </w:p>
        </w:tc>
      </w:tr>
      <w:tr w14:paraId="0E825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A5B8E1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Định giá sau gọi vốn (Target post-money valuation)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0366A1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600.000.000 VNĐ</w:t>
            </w:r>
          </w:p>
        </w:tc>
      </w:tr>
      <w:tr w14:paraId="1264F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9E362B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Tỷ lệ cổ phần chào bán (Equity offered)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58F28B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~16.7%</w:t>
            </w:r>
          </w:p>
        </w:tc>
      </w:tr>
      <w:tr w14:paraId="4041F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E288F1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Phương án Trái phiếu chuyển đổi (Convertible-note alternative)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EE53E0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Mức trần định giá (Valuation cap): 600.000.000 VNĐ; Chiết khấu (Discount): 20%</w:t>
            </w:r>
          </w:p>
        </w:tc>
      </w:tr>
      <w:tr w14:paraId="37EEF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7366FA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Nguồn vốn hiện có (Existing funding)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E80069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30.000.000 VNĐ (Tài trợ khởi nghiệp từ trường Đại học FPT)</w:t>
            </w:r>
          </w:p>
        </w:tc>
      </w:tr>
    </w:tbl>
    <w:p w14:paraId="52D65BA0">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Cơ sở Định giá (Valuation rationale):</w:t>
      </w:r>
    </w:p>
    <w:p w14:paraId="1B54E761">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Định giá 500 triệu VNĐ (Pre-money) này được bảo chứng bởi hai yếu tố thực chứng: (1) Dự án đã bán thành công hệ thống đầu tiên ra thị trường; (2) Đã vượt qua vòng thẩm định khắt khe để nhận 30.000.000 VNĐ tài trợ khởi nghiệp từ trường Đại học FPT.</w:t>
      </w:r>
    </w:p>
    <w:p w14:paraId="4B8B3162">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Với định giá này, việc chào bán ~16.7% cổ phần đổi lấy 100.000.000 VNĐ là một cơ hội đầu tư mang tính "bắt đáy" cực kỳ hấp dẫn. Nguồn vốn 100 triệu này, kết hợp cùng khoản tài trợ từ Đại học FPT, sẽ giúp dự án giải quyết triệt để bài toán nhập sẵn linh kiện (inventory) số lượng lớn để tối ưu giá vốn (COGS) xuống mức thấp nhất, đồng thời có đủ ngân sách chạy đà cho các chiến dịch Marketing B2C trong năm 2027. Tỷ lệ cổ phần 16.7% cũng đảm bảo nhóm sáng lập (Founders) vẫn nắm quyền kiểm soát tuyệt đối để lèo lái dự án trong các vòng gọi vốn tiếp theo.</w:t>
      </w:r>
    </w:p>
    <w:p w14:paraId="2A4D7BB7">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5.7.2 Phân bổ Sử dụng Vốn (Use of Funds)</w:t>
      </w:r>
    </w:p>
    <w:p w14:paraId="03B6EC31">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Khoản vốn kêu gọi 100.000.000 VNĐ sẽ được giải ngân và phân bổ làm 2 giai đoạn (Năm 2027 và Năm 2028) phục vụ trực tiếp cho mục tiêu thương mại hóa và mở rộng quy mô. Khoản tài trợ 30.000.000 VNĐ từ Đại học FPT trước đó đã được sử dụng hoàn toàn cho khâu R&amp;D tạo ra sản phẩm mẫu trong năm 2026, do đó 100% nguồn vốn mới này sẽ được dồn vào việc sản xuất và phát triển thị trường.</w:t>
      </w:r>
    </w:p>
    <w:p w14:paraId="5A5C5DE4">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Phân bổ Năm 2027 40.000.000 VNĐ (Chạy đà thương mại hóa)</w:t>
      </w:r>
    </w:p>
    <w:p w14:paraId="6A454EF0">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5.8: Phân bổ Vốn Năm 2027</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70"/>
        <w:gridCol w:w="1577"/>
        <w:gridCol w:w="1173"/>
      </w:tblGrid>
      <w:tr w14:paraId="35E89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45E11A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Mục đích (Purpose)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D119DE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Số tiền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0A4B10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Tỷ trọng (%)</w:t>
            </w:r>
          </w:p>
        </w:tc>
      </w:tr>
      <w:tr w14:paraId="7393A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4F097B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Sản xuất phần cứng (Hardware production): Nhập khẩu số lượng lớn mạch Arduino, ESP32 và cảm biến để có giá COGS tốt nhất.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6CCB2B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20.000.000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0E845B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50%</w:t>
            </w:r>
          </w:p>
        </w:tc>
      </w:tr>
      <w:tr w14:paraId="1635B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DAD8D2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Marketing &amp; Bán hàng B2B (Marketing and B2B outreach): Thiết kế Sales kit, in ấn tài liệu thuyết trình chuyên nghiệp cho các resort/nông trại.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DE5217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BF633D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25%</w:t>
            </w:r>
          </w:p>
        </w:tc>
      </w:tr>
      <w:tr w14:paraId="575A4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033F96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Sự kiện &amp; Cộng đồng (Event activation): Tổ chức workshop/tham gia hội chợ nông nghiệp địa phương tại ĐBSCL.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1108C6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4.000.000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27C6E3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w:t>
            </w:r>
          </w:p>
        </w:tc>
      </w:tr>
      <w:tr w14:paraId="4DF3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413E0D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Mở rộng Hạ tầng Cloud (Cloud scaling): Nâng cấp gói dịch vụ (Firebase/AWS) để chuẩn bị đón luồng dữ liệu IoT thương mại.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80C1BE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3.200.000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6B104B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8%</w:t>
            </w:r>
          </w:p>
        </w:tc>
      </w:tr>
      <w:tr w14:paraId="171F4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B9164D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Vận hành &amp; Dự phòng (Operations, logistics, contingency): Chi phí vận chuyển linh kiện và dự phòng hao hụt.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1CCD79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2.800.000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EFC8F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7%</w:t>
            </w:r>
          </w:p>
        </w:tc>
      </w:tr>
    </w:tbl>
    <w:p w14:paraId="759798DD">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Phân bổ Năm 2028 — 60.000.000 VNĐ (Mở rộng quy mô)</w:t>
      </w:r>
    </w:p>
    <w:p w14:paraId="3378089C">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5.9: Phân bổ Vốn Năm 2028</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38"/>
        <w:gridCol w:w="1587"/>
        <w:gridCol w:w="1195"/>
      </w:tblGrid>
      <w:tr w14:paraId="39E9E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9CF130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Mục đích (Purpose)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84F9CA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Số tiền (VNĐ)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0B858E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Tỷ trọng (%)</w:t>
            </w:r>
          </w:p>
        </w:tc>
      </w:tr>
      <w:tr w14:paraId="5508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6954D9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Mở rộng Sản xuất (Hardware scaling): Lắp ráp và đóng gói sẵn các thiết bị để đáp ứng mục tiêu tăng trưởng doanh thu gấp đôi.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5D0F02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36.000.000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B75838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60%</w:t>
            </w:r>
          </w:p>
        </w:tc>
      </w:tr>
      <w:tr w14:paraId="7B42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7D4928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Mở rộng Thị trường (Market expansion): Đẩy mạnh quảng cáo Digital và chi phí đi lại khảo sát mở rộng tệp khách ra toàn vùng ĐBSCL.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09AFFE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15.000.000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63B02B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25%</w:t>
            </w:r>
          </w:p>
        </w:tc>
      </w:tr>
      <w:tr w14:paraId="17B7E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7D626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Phát triển Hạ tầng &amp; Sản phẩm (Infrastructure &amp; R&amp;D): Tối ưu UI/UX cho ứng dụng, phát triển thêm tính năng AI cảnh báo nâng cao.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0DEA42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70618B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w:t>
            </w:r>
          </w:p>
        </w:tc>
      </w:tr>
      <w:tr w14:paraId="79D0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FFD2CB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Vận hành &amp; Dự phòng (Operations and contingency)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7099D8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3.000.000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20EAEC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5%</w:t>
            </w:r>
          </w:p>
        </w:tc>
      </w:tr>
    </w:tbl>
    <w:p w14:paraId="0D095B0E">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Diễn giải chiến lược sử dụng vốn:</w:t>
      </w:r>
    </w:p>
    <w:p w14:paraId="14C99510">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Chiến lược phân bổ trên thể hiện rõ định hướng "nặng về phần cứng, tinh gọn về phần mềm" ở giai đoạn đầu của TrangHerb EcoTech. Tổng cộng 56.000.000 VNĐ (hơn 50% tổng vốn) được rót trực tiếp vào việc nhập linh kiện và lắp ráp thiết bị. Quyết định này giúp dự án "khóa" được mức giá vốn vật tư đầu vào ở mức thấp nhất, bảo vệ vững chắc biên lợi nhuận gộp (~67%) trước những biến động giá linh kiện điện tử. Ngân sách Marketing được phân bổ khéo léo để ưu tiên tiếp cận các tệp khách hàng B2B có tỷ lệ chuyển đổi cao thay vì đốt tiền chạy quảng cáo dàn trải.</w:t>
      </w:r>
    </w:p>
    <w:p w14:paraId="4AA03215">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5.8 Lợi tức Đầu tư (Return on Investment)</w:t>
      </w:r>
    </w:p>
    <w:p w14:paraId="140A232F">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Dựa trên dự phóng tài chính giai đoạn 2027–2028 (Giai đoạn thương mại hóa):</w:t>
      </w:r>
    </w:p>
    <w:p w14:paraId="20D33616">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5.10: Lợi tức Đầu tư (ROI)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36"/>
        <w:gridCol w:w="3494"/>
      </w:tblGrid>
      <w:tr w14:paraId="361B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AC9317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Chỉ số (Metric)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D38D20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Giá trị (Value)</w:t>
            </w:r>
          </w:p>
        </w:tc>
      </w:tr>
      <w:tr w14:paraId="7955A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6ADAEF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Tổng vốn đầu tư kêu gọi (Total investment requested)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C1A859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100.000.000 VNĐ</w:t>
            </w:r>
          </w:p>
        </w:tc>
      </w:tr>
      <w:tr w14:paraId="3AEE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EE1EED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Dự phóng Doanh thu 2027 (2027 projected revenue)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74915C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174.900.000 VNĐ</w:t>
            </w:r>
          </w:p>
        </w:tc>
      </w:tr>
      <w:tr w14:paraId="0C555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4B851B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Dự phóng Doanh thu 2028 (2028 projected revenue)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6EE14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349.800.000 VNĐ</w:t>
            </w:r>
          </w:p>
        </w:tc>
      </w:tr>
      <w:tr w14:paraId="5960C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0C0200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Lợi nhuận gộp 2027 (2027 gross profit)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23E1CD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~116.550.000 VNĐ</w:t>
            </w:r>
          </w:p>
        </w:tc>
      </w:tr>
      <w:tr w14:paraId="2C6D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3F45A5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Lợi nhuận ròng 2027 (Net operating income)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9904DB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~72.250.000 VNĐ</w:t>
            </w:r>
          </w:p>
        </w:tc>
      </w:tr>
      <w:tr w14:paraId="5AABB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67D231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Lợi nhuận ròng 2028 (Net operating income)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C77F5F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~168.150.000 VNĐ</w:t>
            </w:r>
          </w:p>
        </w:tc>
      </w:tr>
      <w:tr w14:paraId="382DF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598C2D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Lợi nhuận gộp lũy kế 27-28 (Cumulative gross profit)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DD9B75C">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~349.700.000 VNĐ</w:t>
            </w:r>
          </w:p>
        </w:tc>
      </w:tr>
      <w:tr w14:paraId="5F8B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E14769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Thời gian hoàn vốn dự kiến (Estimated payback period)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994D2C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Cuối năm 2027 – Đầu năm 2028</w:t>
            </w:r>
          </w:p>
        </w:tc>
      </w:tr>
    </w:tbl>
    <w:p w14:paraId="66035723">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Diễn giải Lợi tức đầu tư (ROI interpretation):</w:t>
      </w:r>
    </w:p>
    <w:p w14:paraId="3B64E8D1">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Khoản đầu tư 100.000.000 VNĐ dự kiến sẽ được thu hồi hoàn toàn trong vòng 12-15 tháng kể từ khi bắt đầu thương mại hóa (2027). Lợi nhuận gộp sinh ra trong năm 2027 đã vượt qua tổng số vốn đầu tư. Với biên lợi nhuận ròng duy trì ở mức cao (~41-48%), đây là tỷ suất lợi nhuận trên rủi ro (risk-adjusted return) cực kỳ hấp dẫn đối với các nhà đầu tư thiên thần (angel investors) hoặc các quỹ hạt giống (seed funds) tập trung vào lĩnh vực AgTech, IoT và phát triển bền vững.</w:t>
      </w:r>
    </w:p>
    <w:p w14:paraId="52FC5286">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5.9 Các Giả định Tài chính cốt lõi và Phân tích Độ nhạy (Key Financial Assumptions and Sensitivity)</w:t>
      </w:r>
    </w:p>
    <w:p w14:paraId="28FE3618">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Các giả định cốt lõi (Core assumptions):</w:t>
      </w:r>
    </w:p>
    <w:p w14:paraId="0ACAC38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505598F">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Dự án thí điểm đầu tiên (Pilot) được hoàn thành thành công và nghiệm thu vào cuối năm 2026.</w:t>
      </w:r>
    </w:p>
    <w:p w14:paraId="641920AF">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0F7C751">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A80A7F9">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Các kênh Digital B2C đạt được chi phí thu hút khách hàng (CAC) ở mức chấp nhận được (&lt;300.000 VNĐ/khách hàng) vào giữa năm 2027.</w:t>
      </w:r>
    </w:p>
    <w:p w14:paraId="76EB361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BF3BAEC">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5875897">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Giá vốn hàng bán phần cứng (Hardware COGS) duy trì ổn định ở mức ~650.000 VNĐ/bộ (Module 2) và ~3.455.000 VNĐ/bộ (Module 3) nhờ nhập linh kiện số lượng lớn.</w:t>
      </w:r>
    </w:p>
    <w:p w14:paraId="421FE988">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2C7A21C">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1E82B94">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Không có cú sốc lớn về chi phí hạ tầng Cloud (AWS/Firebase) khi mở rộng quy mô.</w:t>
      </w:r>
    </w:p>
    <w:p w14:paraId="1E9E6785">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0836D6A">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C8D6081">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i w:val="0"/>
          <w:iCs w:val="0"/>
          <w:color w:val="000000"/>
          <w:sz w:val="24"/>
          <w:szCs w:val="24"/>
          <w:u w:val="none"/>
          <w:vertAlign w:val="baseline"/>
        </w:rPr>
        <w:t>Đội ngũ sáng lập duy trì hoạt động mà không yêu cầu trả lương toàn phần cho đến hết năm 2027 (nhận bù đắp bằng cổ phần).</w:t>
      </w:r>
    </w:p>
    <w:p w14:paraId="317A433A">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F558F43">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Phân tích Độ nhạy Kịch bản Chậm trễ B2B (Sensitivity B2B Delay Scenario):</w:t>
      </w:r>
    </w:p>
    <w:p w14:paraId="4EDE9402">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Nếu tiến độ chốt hợp đồng B2B trong năm 2027 bị chậm lại (Chỉ bán được 5 bộ Module 3 thay vì 15 bộ):</w:t>
      </w:r>
    </w:p>
    <w:p w14:paraId="1BABCF0C">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919DF3D">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Tổng doanh thu 2027 giảm xuống còn ~71.300.000 VNĐ.</w:t>
      </w:r>
    </w:p>
    <w:p w14:paraId="7F729457">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F187DFC">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12733B9">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Lợi nhuận ròng 2027 sẽ giảm xuống mức hòa vốn hoặc âm nhẹ (do chi phí OPEX vẫn giữ ở mức 44.300.000 VNĐ).</w:t>
      </w:r>
    </w:p>
    <w:p w14:paraId="789DA73D">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5CBBF4B">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F207E69">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Dự phóng 2028 vẫn giữ nguyên cấu trúc (các đơn hàng B2B chỉ bị dời sang năm sau chứ không mất đi).</w:t>
      </w:r>
    </w:p>
    <w:p w14:paraId="0EA94B7F">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C979E1D">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3153693">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Biện pháp giảm thiểu (Mitigation):</w:t>
      </w:r>
      <w:r>
        <w:rPr>
          <w:rFonts w:hint="default" w:ascii="Times New Roman" w:hAnsi="Times New Roman" w:cs="Times New Roman"/>
          <w:i w:val="0"/>
          <w:iCs w:val="0"/>
          <w:color w:val="000000"/>
          <w:sz w:val="24"/>
          <w:szCs w:val="24"/>
          <w:u w:val="none"/>
          <w:vertAlign w:val="baseline"/>
        </w:rPr>
        <w:t xml:space="preserve"> Kích hoạt hệ thống khách hàng B2C tiềm năng và hoãn các khoản chi ngân sách sản xuất phần cứng không cấp thiết.</w:t>
      </w:r>
    </w:p>
    <w:p w14:paraId="42BFD4A6">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D26E627">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Phân tích Độ nhạy Kịch bản B2C Kém hiệu quả (Sensitivity B2C Underperformance Scenario):</w:t>
      </w:r>
    </w:p>
    <w:p w14:paraId="3B32750D">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Nếu các kênh truyền thông số chỉ đạt 5 khách hàng mua Module 2 (so với mục tiêu 10) trong năm 2027:</w:t>
      </w:r>
    </w:p>
    <w:p w14:paraId="79F30779">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B75EEA6">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Doanh thu B2C 2027 giảm khoảng ~9.750.000 VNĐ.</w:t>
      </w:r>
    </w:p>
    <w:p w14:paraId="0B869007">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21BA8FF">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897C5EF">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Tác động rất nhỏ đến tổng thể mô hình tài chính (vì doanh thu B2B chiếm tỷ trọng lớn nhất).</w:t>
      </w:r>
    </w:p>
    <w:p w14:paraId="7919E739">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DB81B1A">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D9902B3">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Biện pháp giảm thiểu:</w:t>
      </w:r>
      <w:r>
        <w:rPr>
          <w:rFonts w:hint="default" w:ascii="Times New Roman" w:hAnsi="Times New Roman" w:cs="Times New Roman"/>
          <w:i w:val="0"/>
          <w:iCs w:val="0"/>
          <w:color w:val="000000"/>
          <w:sz w:val="24"/>
          <w:szCs w:val="24"/>
          <w:u w:val="none"/>
          <w:vertAlign w:val="baseline"/>
        </w:rPr>
        <w:t xml:space="preserve"> Tăng cường hợp tác với các vườn ươm cây cảnh để bán chéo (cross-sell).</w:t>
      </w:r>
    </w:p>
    <w:p w14:paraId="11B7E311">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C70C4A6">
      <w:pPr>
        <w:pStyle w:val="13"/>
        <w:keepNext w:val="0"/>
        <w:keepLines w:val="0"/>
        <w:widowControl/>
        <w:suppressLineNumbers w:val="0"/>
        <w:bidi w:val="0"/>
        <w:spacing w:before="24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Kế hoạch Dự phòng B Nếu mục tiêu doanh thu 2027 không đạt tiến độ (Contingency Plan B):</w:t>
      </w:r>
      <w:r>
        <w:rPr>
          <w:rFonts w:hint="default" w:ascii="Times New Roman" w:hAnsi="Times New Roman" w:cs="Times New Roman"/>
          <w:i w:val="0"/>
          <w:iCs w:val="0"/>
          <w:color w:val="000000"/>
          <w:sz w:val="24"/>
          <w:szCs w:val="24"/>
          <w:u w:val="none"/>
          <w:vertAlign w:val="baseline"/>
        </w:rPr>
        <w:t xml:space="preserve"> Nếu việc chốt hợp đồng với các Resort/Nông trại lớn bị trì hoãn, TrangHerb EcoTech sẽ thực thi kế hoạch dự phòng song song với các mục tiêu có thể đo lường:</w:t>
      </w:r>
    </w:p>
    <w:p w14:paraId="5DD311A5">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787E130">
      <w:pPr>
        <w:pStyle w:val="13"/>
        <w:keepNext w:val="0"/>
        <w:keepLines w:val="0"/>
        <w:widowControl/>
        <w:suppressLineNumbers w:val="0"/>
        <w:bidi w:val="0"/>
        <w:spacing w:before="24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Kế hoạch B1 (Micro-pilots nhiều điểm):</w:t>
      </w:r>
      <w:r>
        <w:rPr>
          <w:rFonts w:hint="default" w:ascii="Times New Roman" w:hAnsi="Times New Roman" w:cs="Times New Roman"/>
          <w:i w:val="0"/>
          <w:iCs w:val="0"/>
          <w:color w:val="000000"/>
          <w:sz w:val="24"/>
          <w:szCs w:val="24"/>
          <w:u w:val="none"/>
          <w:vertAlign w:val="baseline"/>
        </w:rPr>
        <w:t xml:space="preserve"> Tập trung chốt các khách hàng là hộ nông dân trồng rau đô thị (quy mô nhỏ) hoặc các quán cafe sân vườn, mục tiêu đạt 10 hợp đồng nhỏ thay vì 5 hợp đồng lớn.</w:t>
      </w:r>
    </w:p>
    <w:p w14:paraId="3942DCE8">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11FA4A9">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4356B2B">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Kế hoạch B2 (Chuyển đổi mô hình B2C sang Cho thuê/Trả sau):</w:t>
      </w:r>
      <w:r>
        <w:rPr>
          <w:rFonts w:hint="default" w:ascii="Times New Roman" w:hAnsi="Times New Roman" w:cs="Times New Roman"/>
          <w:i w:val="0"/>
          <w:iCs w:val="0"/>
          <w:color w:val="000000"/>
          <w:sz w:val="24"/>
          <w:szCs w:val="24"/>
          <w:u w:val="none"/>
          <w:vertAlign w:val="baseline"/>
        </w:rPr>
        <w:t xml:space="preserve"> Triển khai mô hình "Hardware-as-a-Service" (Cho thuê thiết bị). Thay vì yêu cầu khách hàng B2C mua đứt Module 2 với giá 1.950.000 VNĐ, dự án sẽ tung ra các gói </w:t>
      </w:r>
      <w:r>
        <w:rPr>
          <w:rFonts w:hint="default" w:ascii="Times New Roman" w:hAnsi="Times New Roman" w:cs="Times New Roman"/>
          <w:b/>
          <w:bCs/>
          <w:i w:val="0"/>
          <w:iCs w:val="0"/>
          <w:color w:val="000000"/>
          <w:sz w:val="24"/>
          <w:szCs w:val="24"/>
          <w:u w:val="none"/>
          <w:vertAlign w:val="baseline"/>
        </w:rPr>
        <w:t>cho thuê theo tháng hoặc theo quý</w:t>
      </w:r>
      <w:r>
        <w:rPr>
          <w:rFonts w:hint="default" w:ascii="Times New Roman" w:hAnsi="Times New Roman" w:cs="Times New Roman"/>
          <w:i w:val="0"/>
          <w:iCs w:val="0"/>
          <w:color w:val="000000"/>
          <w:sz w:val="24"/>
          <w:szCs w:val="24"/>
          <w:u w:val="none"/>
          <w:vertAlign w:val="baseline"/>
        </w:rPr>
        <w:t xml:space="preserve"> (ví dụ: 200.000 VNĐ/tháng), kết hợp chính sách </w:t>
      </w:r>
      <w:r>
        <w:rPr>
          <w:rFonts w:hint="default" w:ascii="Times New Roman" w:hAnsi="Times New Roman" w:cs="Times New Roman"/>
          <w:b/>
          <w:bCs/>
          <w:i w:val="0"/>
          <w:iCs w:val="0"/>
          <w:color w:val="000000"/>
          <w:sz w:val="24"/>
          <w:szCs w:val="24"/>
          <w:u w:val="none"/>
          <w:vertAlign w:val="baseline"/>
        </w:rPr>
        <w:t>"Dùng trước, trả sau"</w:t>
      </w:r>
      <w:r>
        <w:rPr>
          <w:rFonts w:hint="default" w:ascii="Times New Roman" w:hAnsi="Times New Roman" w:cs="Times New Roman"/>
          <w:i w:val="0"/>
          <w:iCs w:val="0"/>
          <w:color w:val="000000"/>
          <w:sz w:val="24"/>
          <w:szCs w:val="24"/>
          <w:u w:val="none"/>
          <w:vertAlign w:val="baseline"/>
        </w:rPr>
        <w:t xml:space="preserve"> (khách hàng được lắp đặt trải nghiệm miễn phí tháng đầu tiên, chỉ thu tiền từ tháng thứ hai). Chiến lược này giúp xóa bỏ hoàn toàn rào cản về giá (price barrier), xây dựng niềm tin mạnh mẽ với người dùng và tạo ra dòng doanh thu định kỳ (MRR - Monthly Recurring Revenue) ổn định cho dự án.</w:t>
      </w:r>
    </w:p>
    <w:p w14:paraId="37B7AD63">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0369681">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0DB0400">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Kế hoạch B3 (Kiểm soát chi phí - Cost-control trigger):</w:t>
      </w:r>
      <w:r>
        <w:rPr>
          <w:rFonts w:hint="default" w:ascii="Times New Roman" w:hAnsi="Times New Roman" w:cs="Times New Roman"/>
          <w:i w:val="0"/>
          <w:iCs w:val="0"/>
          <w:color w:val="000000"/>
          <w:sz w:val="24"/>
          <w:szCs w:val="24"/>
          <w:u w:val="none"/>
          <w:vertAlign w:val="baseline"/>
        </w:rPr>
        <w:t xml:space="preserve"> Hoãn giải ngân 40% ngân sách nhập linh kiện phần cứng cho đến khi có Đơn đặt hàng (Purchase Orders - PO) chính thức kèm tiền cọc từ khách (đối với khách mua đứt) hoặc hợp đồng thuê dài hạn (đối với khách thuê).</w:t>
      </w:r>
    </w:p>
    <w:p w14:paraId="25E2CCA3">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EE2C358">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AADA09F">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Kế hoạch B4 (Bảo vệ dòng tiền - Cash-flow protection):</w:t>
      </w:r>
      <w:r>
        <w:rPr>
          <w:rFonts w:hint="default" w:ascii="Times New Roman" w:hAnsi="Times New Roman" w:cs="Times New Roman"/>
          <w:i w:val="0"/>
          <w:iCs w:val="0"/>
          <w:color w:val="000000"/>
          <w:sz w:val="24"/>
          <w:szCs w:val="24"/>
          <w:u w:val="none"/>
          <w:vertAlign w:val="baseline"/>
        </w:rPr>
        <w:t xml:space="preserve"> Bắt buộc điều khoản thanh toán ứng trước 50% (upfront payment) đối với mọi hợp đồng B2B mua đứt để lấy ngắn nuôi dài.</w:t>
      </w:r>
    </w:p>
    <w:p w14:paraId="2CCB3074">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6311EB4">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7FA493E">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Kết quả kỳ vọng của Kế hoạch B:</w:t>
      </w:r>
      <w:r>
        <w:rPr>
          <w:rFonts w:hint="default" w:ascii="Times New Roman" w:hAnsi="Times New Roman" w:cs="Times New Roman"/>
          <w:i w:val="0"/>
          <w:iCs w:val="0"/>
          <w:color w:val="000000"/>
          <w:sz w:val="24"/>
          <w:szCs w:val="24"/>
          <w:u w:val="none"/>
          <w:vertAlign w:val="baseline"/>
        </w:rPr>
        <w:t xml:space="preserve"> Kích thích nhu cầu thị trường, bảo vệ mức doanh thu sàn (revenue floor) của năm 2027 ở mức ~80.000.000 đến ~100.000.000 VNĐ, duy trì đủ "đường băng" (runway) tiến vào năm 2028.</w:t>
      </w:r>
    </w:p>
    <w:p w14:paraId="2DADD3D2">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2D56055">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5.10 Tóm tắt Rủi ro Tài chính (Financial Risk Summary)</w:t>
      </w:r>
    </w:p>
    <w:p w14:paraId="02BFE73D">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5.10: Tóm tắt Rủi ro Tài chính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6"/>
        <w:gridCol w:w="1778"/>
        <w:gridCol w:w="5036"/>
      </w:tblGrid>
      <w:tr w14:paraId="2A2F8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575E8F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Rủi ro (Risk)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9E6214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Xác suất (Probability)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A1205A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Biện pháp giảm thiểu (Mitigation)</w:t>
            </w:r>
          </w:p>
        </w:tc>
      </w:tr>
      <w:tr w14:paraId="10D8A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DB16E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Dự án thí điểm B2B bị trì hoãn (B2B pilot delayed)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13264F8">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Trung bình (Medium)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8516BB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Khởi động việc tiếp cận thị trường sớm; kích hoạt Kế hoạch B1 (Micro-pilots) và B2 (Cho thuê B2C) để duy trì dòng tiền.</w:t>
            </w:r>
          </w:p>
        </w:tc>
      </w:tr>
      <w:tr w14:paraId="69C49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3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7EE889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Giá vốn phần cứng cao hơn dự kiến (Hardware COGS higher than expected)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8922AC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Thấp (Low)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AA6524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Đã lấy báo giá từ 3 nhà cung cấp linh kiện khác nhau; có sẵn ngân sách dự phòng (contingency buffer) ~5-7%.</w:t>
            </w:r>
          </w:p>
        </w:tc>
      </w:tr>
      <w:tr w14:paraId="5A253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3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BEFEF0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Tăng trưởng B2C chậm hơn dự phóng (B2C growth slower than projected)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6A5696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Trung bình (Medium)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310319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Chuyển đổi linh hoạt sang mô hình "Cho thuê thiết bị" (Hardware-as-a-Service) dùng trước trả sau để hạ rào cản giá; kết hợp bán chéo tại các vườn ươm.</w:t>
            </w:r>
          </w:p>
        </w:tc>
      </w:tr>
      <w:tr w14:paraId="09B2A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3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1DEF37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Không gọi được nguồn vốn ngoài (External funding not secured)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10C622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Thấp (Low)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84E2B9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Khoản tài trợ 30.000.000 VNĐ từ trường ĐH FPT đủ bao phủ chi phí R&amp;D và vận hành năm 2026; doanh thu mảng B2C (bán/thuê) tạo ra dòng tiền cơ sở duy trì sự sống.</w:t>
            </w:r>
          </w:p>
        </w:tc>
      </w:tr>
      <w:tr w14:paraId="7993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2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2AC44D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Chi phí sự kiện vượt quá giá trị chuyển đổi (Event spend exceeds conversion value)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48C03E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Trung bình (Medium)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E420F7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Khống chế ngân sách sự kiện tối đa 40% tổng quỹ Marketing; yêu cầu đặt mục tiêu khách hàng (leads) rõ ràng trước sự kiện và đánh giá ROI ngay sau đó trước khi duyệt chi thêm.</w:t>
            </w:r>
          </w:p>
        </w:tc>
      </w:tr>
    </w:tbl>
    <w:p w14:paraId="6ECD3390">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5.11 Tham gia Hệ sinh thái Đối tác thứ ba (Third-Party Ecosystem Engagement)</w:t>
      </w:r>
    </w:p>
    <w:p w14:paraId="688F769C">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Để tăng tốc độ tăng trưởng, khẳng định uy tín và tiếp cận thêm các nguồn lực, TrangHerb EcoTech tích cực tham gia vào hệ sinh thái đổi mới sáng tạo và khởi nghiệp.</w:t>
      </w:r>
    </w:p>
    <w:p w14:paraId="301DF801">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Vườn ươm và Tổ chức thúc đẩy kinh doanh (Incubators and Accelerators)</w:t>
      </w:r>
    </w:p>
    <w:p w14:paraId="1721407E">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5.11: Vườn ươm và Tổ chức thúc đẩy kinh doanh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5"/>
        <w:gridCol w:w="1846"/>
        <w:gridCol w:w="1414"/>
        <w:gridCol w:w="3715"/>
      </w:tblGrid>
      <w:tr w14:paraId="0F135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A5DA71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Tổ chức (Organization)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2D8410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Loại hình (Type)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F74055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Trạng thái (Status)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94C6DF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Mục tiêu (Objective)</w:t>
            </w:r>
          </w:p>
        </w:tc>
      </w:tr>
      <w:tr w14:paraId="3FFB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548070B">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FPTU Startup Hub / Vườn ươm ĐH FPT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CDC820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Vườn ươm trường Đại học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98E7B7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Đã nhận tài trợ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13726E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Cố vấn chuyên môn (Mentorship), cấp vốn mồi 30 triệu VNĐ, hỗ trợ phòng lab R&amp;D.</w:t>
            </w:r>
          </w:p>
        </w:tc>
      </w:tr>
      <w:tr w14:paraId="4A0F5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24AACF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Mekong Delta Startup Hub</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DE10FD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Vườn ươm khu vực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75E476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Đã xác định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75A4D9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Mở rộng mạng lưới, tạo uy tín tại khu vực ĐBSCL.</w:t>
            </w:r>
          </w:p>
        </w:tc>
      </w:tr>
      <w:tr w14:paraId="2AD25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7D5A45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BSSC (Trung tâm Hỗ trợ TN Khởi nghiệp HCM)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2A275A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Tổ chức hỗ trợ khởi nghiệp quốc gia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4F3720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Đang nghiên cứu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DE8D7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Kêu gọi quỹ tài trợ không hoàn lại, tăng độ nhận diện toàn quốc.</w:t>
            </w:r>
          </w:p>
        </w:tc>
      </w:tr>
    </w:tbl>
    <w:p w14:paraId="34CD1FC8">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Các cuộc thi và Sự kiện Khởi nghiệp (Pitching Events and Competitions)</w:t>
      </w:r>
    </w:p>
    <w:p w14:paraId="75F06B79">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5.12: Sự kiện và Cuộc thi Khởi nghiệp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1"/>
        <w:gridCol w:w="1894"/>
        <w:gridCol w:w="1473"/>
        <w:gridCol w:w="3792"/>
      </w:tblGrid>
      <w:tr w14:paraId="1B96D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4E8A57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Sự kiện (Event)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9677A4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Đơn vị tổ chức (Organizer)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D84EDF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Thời gian mục tiêu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A985A7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Mục tiêu (Objective)</w:t>
            </w:r>
          </w:p>
        </w:tc>
      </w:tr>
      <w:tr w14:paraId="3DD2A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DC3A62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Startup Wheel 2026 / 2027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C82254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BSSC &amp; YBA Vietnam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BC8461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Q3/2026 &amp; 2027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7827510">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Đạt độ nhận diện quốc gia, gọi vốn thưởng.</w:t>
            </w:r>
          </w:p>
        </w:tc>
      </w:tr>
      <w:tr w14:paraId="6E279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624A149">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Techfest Vietnam (Làng Nông nghiệp Công nghệ cao)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3A8BF0D">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Bộ KH&amp;CN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4682852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Q4/2026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069ECE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Kết nối mạng lưới chính phủ, quỹ đầu tư AgTech và truyền thông.</w:t>
            </w:r>
          </w:p>
        </w:tc>
      </w:tr>
      <w:tr w14:paraId="6DB33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4846C4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FPT Edu Hackathon / ResFes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519003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FPT Education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98FB28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Q2/2026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2A4FD2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Khẳng định tính khả thi công nghệ, lấy phản hồi và vốn thưởng.</w:t>
            </w:r>
          </w:p>
        </w:tc>
      </w:tr>
      <w:tr w14:paraId="0338F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88CF40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Mekong Connect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8FB345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VCCI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74E0C3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Q3/2026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55E3A6DE">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Kết nối trực tiếp với mạng lưới doanh nghiệp Nông nghiệp/Resort tại Cần Thơ và miền Tây.</w:t>
            </w:r>
          </w:p>
        </w:tc>
      </w:tr>
    </w:tbl>
    <w:p w14:paraId="7AA622F1">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Huy động vốn cộng đồng và Đặt hàng trước (Crowdfunding and Community Funding)</w:t>
      </w:r>
    </w:p>
    <w:p w14:paraId="189816AC">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TrangHerb EcoTech sẽ triển khai các chiến dịch bán trước (Pre-sales) cho phần cứng để kiểm chứng nhu cầu thị trường:</w:t>
      </w:r>
    </w:p>
    <w:p w14:paraId="43721316">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4E854B1">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i w:val="0"/>
          <w:iCs w:val="0"/>
          <w:color w:val="000000"/>
          <w:sz w:val="24"/>
          <w:szCs w:val="24"/>
          <w:u w:val="none"/>
          <w:vertAlign w:val="baseline"/>
        </w:rPr>
        <w:t>Chương trình đặt hàng trước (Pre-order) dành cho tệp người trồng cây đô thị (Early-adopter) với mức giá ưu đãi (VD: 1.500.000 VNĐ thay vì 1.950.000 VNĐ cho Module 2).</w:t>
      </w:r>
    </w:p>
    <w:p w14:paraId="785C60E2">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EB466CD">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38A2CBE">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i w:val="0"/>
          <w:iCs w:val="0"/>
          <w:color w:val="000000"/>
          <w:sz w:val="24"/>
          <w:szCs w:val="24"/>
          <w:u w:val="none"/>
          <w:vertAlign w:val="baseline"/>
        </w:rPr>
        <w:t>Cách tiếp cận này phục vụ mục tiêu kép: Tạo ra dòng doanh thu B2C sớm và kiểm chứng quy mô nhu cầu sản xuất phần cứng thực tế.</w:t>
      </w:r>
    </w:p>
    <w:p w14:paraId="62222C2E">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3CF51F4">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Mục tiêu Đối tác Chiến lược (Strategic Partnership Targets)</w:t>
      </w:r>
    </w:p>
    <w:p w14:paraId="01425857">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Bảng 5.13: Đối tác Chiến lược Mục tiêu</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0"/>
        <w:gridCol w:w="2624"/>
        <w:gridCol w:w="4476"/>
      </w:tblGrid>
      <w:tr w14:paraId="4B7A8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F6E6F3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Đối tác (Partner)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A64CF4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Giá trị mang lại (Value)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9071D9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Cách tiếp cận (Approach)</w:t>
            </w:r>
          </w:p>
        </w:tc>
      </w:tr>
      <w:tr w14:paraId="520ED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D74C546">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Các Vườn ươm, Trại cây cảnh địa phương (Cần Thơ)</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FDC5C71">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Kênh phân phối chéo, combo bán hàng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2445F25F">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Hợp tác chiết khấu hoa hồng/sản phẩm, bán kèm Module 2 khi khách mua cây cảnh lớn.</w:t>
            </w:r>
          </w:p>
        </w:tc>
      </w:tr>
      <w:tr w14:paraId="7349A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6FBCAB2">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Rạng Đông / Điện Quang (Mảng Nông nghiệp)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1CC0F344">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Tích hợp hệ sinh thái đèn LED nông nghiệp thông minh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799A0AF3">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Gửi đề xuất hợp tác công nghệ (tích hợp Module TrangHerb để điều khiển đèn).</w:t>
            </w:r>
          </w:p>
        </w:tc>
      </w:tr>
      <w:tr w14:paraId="5A2B1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368F2595">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FPT Smart Cloud / AWS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6B6D7FDA">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Hỗ trợ hạ tầng Cloud &amp; 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top"/>
          </w:tcPr>
          <w:p w14:paraId="0FE3E457">
            <w:pPr>
              <w:pStyle w:val="1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Đăng ký chương trình hỗ trợ Startup (AWS Activate hoặc FPT Startup Program) để nhận credits miễn phí.</w:t>
            </w:r>
          </w:p>
        </w:tc>
      </w:tr>
    </w:tbl>
    <w:p w14:paraId="4EDC69EA">
      <w:pPr>
        <w:pStyle w:val="4"/>
        <w:keepNext w:val="0"/>
        <w:keepLines w:val="0"/>
        <w:widowControl/>
        <w:suppressLineNumbers w:val="0"/>
        <w:bidi w:val="0"/>
        <w:spacing w:before="0" w:beforeAutospacing="0" w:after="80" w:afterAutospacing="0" w:line="14" w:lineRule="atLeast"/>
        <w:jc w:val="both"/>
      </w:pPr>
      <w:r>
        <w:rPr>
          <w:rFonts w:hint="default" w:ascii="Times New Roman" w:hAnsi="Times New Roman" w:cs="Times New Roman"/>
          <w:b/>
          <w:bCs/>
          <w:i w:val="0"/>
          <w:iCs w:val="0"/>
          <w:color w:val="000000"/>
          <w:sz w:val="24"/>
          <w:szCs w:val="24"/>
          <w:u w:val="none"/>
          <w:vertAlign w:val="baseline"/>
        </w:rPr>
        <w:t>5.12 Kết luận Mô hình Tài chính (Conclusion of Financial Model)</w:t>
      </w:r>
    </w:p>
    <w:p w14:paraId="21892E58">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Mô hình tài chính của TrangHerb EcoTech thể hiện một lộ trình thực tế, rõ ràng và có tính thực thi cao: từ bước đi thí điểm sớm (Early traction) đến khả năng sinh lời có thể mở rộng (Scalable profitability).</w:t>
      </w:r>
    </w:p>
    <w:p w14:paraId="0A2E7247">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b/>
          <w:bCs/>
          <w:i w:val="0"/>
          <w:iCs w:val="0"/>
          <w:color w:val="000000"/>
          <w:sz w:val="24"/>
          <w:szCs w:val="24"/>
          <w:u w:val="none"/>
          <w:vertAlign w:val="baseline"/>
        </w:rPr>
        <w:t>Các điểm mạnh cốt lõi:</w:t>
      </w:r>
    </w:p>
    <w:p w14:paraId="1ACA338B">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CA8A44C">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Mô hình doanh thu lai (Hybrid revenue model):</w:t>
      </w:r>
      <w:r>
        <w:rPr>
          <w:rFonts w:hint="default" w:ascii="Times New Roman" w:hAnsi="Times New Roman" w:cs="Times New Roman"/>
          <w:i w:val="0"/>
          <w:iCs w:val="0"/>
          <w:color w:val="000000"/>
          <w:sz w:val="24"/>
          <w:szCs w:val="24"/>
          <w:u w:val="none"/>
          <w:vertAlign w:val="baseline"/>
        </w:rPr>
        <w:t xml:space="preserve"> Cân bằng giữa số lượng khách hàng linh hoạt (B2C - Mua đứt/Cho thuê) và chiều sâu hợp đồng doanh nghiệp (B2B - Bán hệ thống lớn).</w:t>
      </w:r>
    </w:p>
    <w:p w14:paraId="2D27B0D9">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A9C001D">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5E7D5B2">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Biên lợi nhuận phần cứng xuất sắc:</w:t>
      </w:r>
      <w:r>
        <w:rPr>
          <w:rFonts w:hint="default" w:ascii="Times New Roman" w:hAnsi="Times New Roman" w:cs="Times New Roman"/>
          <w:i w:val="0"/>
          <w:iCs w:val="0"/>
          <w:color w:val="000000"/>
          <w:sz w:val="24"/>
          <w:szCs w:val="24"/>
          <w:u w:val="none"/>
          <w:vertAlign w:val="baseline"/>
        </w:rPr>
        <w:t xml:space="preserve"> Tối ưu hóa R&amp;D giúp giữ COGS ở mức thấp, duy trì biên lợi nhuận gộp lên tới ~67%.</w:t>
      </w:r>
    </w:p>
    <w:p w14:paraId="5D498576">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22C0125">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7352007">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Dự phóng thực tế:</w:t>
      </w:r>
      <w:r>
        <w:rPr>
          <w:rFonts w:hint="default" w:ascii="Times New Roman" w:hAnsi="Times New Roman" w:cs="Times New Roman"/>
          <w:i w:val="0"/>
          <w:iCs w:val="0"/>
          <w:color w:val="000000"/>
          <w:sz w:val="24"/>
          <w:szCs w:val="24"/>
          <w:u w:val="none"/>
          <w:vertAlign w:val="baseline"/>
        </w:rPr>
        <w:t xml:space="preserve"> Được xây dựng trên các mức giá đã kiểm chứng (sản phẩm Pilot) và tỷ lệ chuyển đổi khách hàng khiêm tốn, không "bánh vẽ".</w:t>
      </w:r>
    </w:p>
    <w:p w14:paraId="28BD2BC9">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AE86FF6">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5D6F106">
      <w:pPr>
        <w:pStyle w:val="13"/>
        <w:keepNext w:val="0"/>
        <w:keepLines w:val="0"/>
        <w:widowControl/>
        <w:suppressLineNumbers w:val="0"/>
        <w:bidi w:val="0"/>
        <w:spacing w:before="0" w:beforeAutospacing="0" w:after="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Cấu trúc chi phí tinh gọn:</w:t>
      </w:r>
      <w:r>
        <w:rPr>
          <w:rFonts w:hint="default" w:ascii="Times New Roman" w:hAnsi="Times New Roman" w:cs="Times New Roman"/>
          <w:i w:val="0"/>
          <w:iCs w:val="0"/>
          <w:color w:val="000000"/>
          <w:sz w:val="24"/>
          <w:szCs w:val="24"/>
          <w:u w:val="none"/>
          <w:vertAlign w:val="baseline"/>
        </w:rPr>
        <w:t xml:space="preserve"> Hoàn toàn không có chi phí vận hành cố định nặng nề (không thuê văn phòng, không quỹ lương cố định giai đoạn đầu).</w:t>
      </w:r>
    </w:p>
    <w:p w14:paraId="7774EFA5">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ADBC029">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FC78FED">
      <w:pPr>
        <w:pStyle w:val="13"/>
        <w:keepNext w:val="0"/>
        <w:keepLines w:val="0"/>
        <w:widowControl/>
        <w:suppressLineNumbers w:val="0"/>
        <w:bidi w:val="0"/>
        <w:spacing w:before="0" w:beforeAutospacing="0" w:after="240" w:afterAutospacing="0" w:line="14" w:lineRule="atLeast"/>
        <w:ind w:left="720"/>
        <w:jc w:val="both"/>
      </w:pPr>
      <w:r>
        <w:rPr>
          <w:rFonts w:hint="default" w:ascii="Times New Roman" w:hAnsi="Times New Roman" w:cs="Times New Roman"/>
          <w:b/>
          <w:bCs/>
          <w:i w:val="0"/>
          <w:iCs w:val="0"/>
          <w:color w:val="000000"/>
          <w:sz w:val="24"/>
          <w:szCs w:val="24"/>
          <w:u w:val="none"/>
          <w:vertAlign w:val="baseline"/>
        </w:rPr>
        <w:t>Lợi tức đầu tư (ROI) mạnh mẽ:</w:t>
      </w:r>
      <w:r>
        <w:rPr>
          <w:rFonts w:hint="default" w:ascii="Times New Roman" w:hAnsi="Times New Roman" w:cs="Times New Roman"/>
          <w:i w:val="0"/>
          <w:iCs w:val="0"/>
          <w:color w:val="000000"/>
          <w:sz w:val="24"/>
          <w:szCs w:val="24"/>
          <w:u w:val="none"/>
          <w:vertAlign w:val="baseline"/>
        </w:rPr>
        <w:t xml:space="preserve"> Khoản đầu tư 100.000.000 VNĐ ở mức định giá 500 triệu VNĐ vô cùng hấp dẫn, dự kiến hoàn vốn toàn bộ ngay trong chu kỳ 2027-2028.</w:t>
      </w:r>
    </w:p>
    <w:p w14:paraId="5D086CE1">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9DD9D85">
      <w:pPr>
        <w:pStyle w:val="13"/>
        <w:keepNext w:val="0"/>
        <w:keepLines w:val="0"/>
        <w:widowControl/>
        <w:suppressLineNumbers w:val="0"/>
        <w:bidi w:val="0"/>
        <w:spacing w:before="0" w:beforeAutospacing="0" w:after="240" w:afterAutospacing="0" w:line="14" w:lineRule="atLeast"/>
        <w:jc w:val="both"/>
      </w:pPr>
      <w:r>
        <w:rPr>
          <w:rFonts w:hint="default" w:ascii="Times New Roman" w:hAnsi="Times New Roman" w:cs="Times New Roman"/>
          <w:i w:val="0"/>
          <w:iCs w:val="0"/>
          <w:color w:val="000000"/>
          <w:sz w:val="24"/>
          <w:szCs w:val="24"/>
          <w:u w:val="none"/>
          <w:vertAlign w:val="baseline"/>
        </w:rPr>
        <w:t xml:space="preserve">Mô hình tài chính này được xây dựng với sự thận trọng trong các giả định và đã chuẩn bị sẵn các Kịch bản Phân tích độ nhạy (Đặc biệt là chiến lược </w:t>
      </w:r>
      <w:r>
        <w:rPr>
          <w:rFonts w:hint="default" w:ascii="Times New Roman" w:hAnsi="Times New Roman" w:cs="Times New Roman"/>
          <w:i/>
          <w:iCs/>
          <w:color w:val="000000"/>
          <w:sz w:val="24"/>
          <w:szCs w:val="24"/>
          <w:u w:val="none"/>
          <w:vertAlign w:val="baseline"/>
        </w:rPr>
        <w:t>Cho thuê thiết bị</w:t>
      </w:r>
      <w:r>
        <w:rPr>
          <w:rFonts w:hint="default" w:ascii="Times New Roman" w:hAnsi="Times New Roman" w:cs="Times New Roman"/>
          <w:i w:val="0"/>
          <w:iCs w:val="0"/>
          <w:color w:val="000000"/>
          <w:sz w:val="24"/>
          <w:szCs w:val="24"/>
          <w:u w:val="none"/>
          <w:vertAlign w:val="baseline"/>
        </w:rPr>
        <w:t>). Dù trong các kịch bản bất lợi, dự án vẫn đảm bảo tính khả thi về mặt tài chính và an toàn dòng tiền, qua đó khẳng định sự vững chắc của toàn bộ mô hình kinh doanh.</w:t>
      </w:r>
    </w:p>
    <w:p w14:paraId="66658445">
      <w:pPr>
        <w:keepNext w:val="0"/>
        <w:keepLines w:val="0"/>
        <w:widowControl/>
        <w:suppressLineNumbers w:val="0"/>
        <w:jc w:val="left"/>
      </w:pPr>
    </w:p>
    <w:p w14:paraId="77EAD17E">
      <w:pPr>
        <w:rPr>
          <w:rFonts w:hint="default"/>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B178AD"/>
    <w:multiLevelType w:val="multilevel"/>
    <w:tmpl w:val="8BB17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1215CAB"/>
    <w:multiLevelType w:val="multilevel"/>
    <w:tmpl w:val="91215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0156924"/>
    <w:multiLevelType w:val="multilevel"/>
    <w:tmpl w:val="B0156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3060B9B"/>
    <w:multiLevelType w:val="multilevel"/>
    <w:tmpl w:val="C3060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59593DD"/>
    <w:multiLevelType w:val="multilevel"/>
    <w:tmpl w:val="C5959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160A4C9"/>
    <w:multiLevelType w:val="multilevel"/>
    <w:tmpl w:val="E160A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2057397"/>
    <w:multiLevelType w:val="multilevel"/>
    <w:tmpl w:val="E2057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464B42E"/>
    <w:multiLevelType w:val="multilevel"/>
    <w:tmpl w:val="E464B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528E963"/>
    <w:multiLevelType w:val="multilevel"/>
    <w:tmpl w:val="E528E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2BD24893"/>
    <w:multiLevelType w:val="multilevel"/>
    <w:tmpl w:val="2BD248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4A45A62"/>
    <w:multiLevelType w:val="multilevel"/>
    <w:tmpl w:val="34A45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B6B2988"/>
    <w:multiLevelType w:val="multilevel"/>
    <w:tmpl w:val="3B6B29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44E97DD5"/>
    <w:multiLevelType w:val="multilevel"/>
    <w:tmpl w:val="44E97D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829CD8C"/>
    <w:multiLevelType w:val="multilevel"/>
    <w:tmpl w:val="4829C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A965246"/>
    <w:multiLevelType w:val="multilevel"/>
    <w:tmpl w:val="4A9652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5CC800FA"/>
    <w:multiLevelType w:val="multilevel"/>
    <w:tmpl w:val="5CC800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4"/>
  </w:num>
  <w:num w:numId="2">
    <w:abstractNumId w:val="15"/>
  </w:num>
  <w:num w:numId="3">
    <w:abstractNumId w:val="9"/>
  </w:num>
  <w:num w:numId="4">
    <w:abstractNumId w:val="4"/>
  </w:num>
  <w:num w:numId="5">
    <w:abstractNumId w:val="0"/>
  </w:num>
  <w:num w:numId="6">
    <w:abstractNumId w:val="8"/>
  </w:num>
  <w:num w:numId="7">
    <w:abstractNumId w:val="6"/>
  </w:num>
  <w:num w:numId="8">
    <w:abstractNumId w:val="5"/>
  </w:num>
  <w:num w:numId="9">
    <w:abstractNumId w:val="13"/>
  </w:num>
  <w:num w:numId="10">
    <w:abstractNumId w:val="10"/>
  </w:num>
  <w:num w:numId="11">
    <w:abstractNumId w:val="12"/>
  </w:num>
  <w:num w:numId="12">
    <w:abstractNumId w:val="11"/>
  </w:num>
  <w:num w:numId="13">
    <w:abstractNumId w:val="1"/>
  </w:num>
  <w:num w:numId="14">
    <w:abstractNumId w:val="3"/>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BA7"/>
    <w:rsid w:val="0023710F"/>
    <w:rsid w:val="003B3BE5"/>
    <w:rsid w:val="00B16E69"/>
    <w:rsid w:val="00C31BA7"/>
    <w:rsid w:val="00E35982"/>
    <w:rsid w:val="1EBC575C"/>
    <w:rsid w:val="50600B56"/>
    <w:rsid w:val="719D0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citation-440"/>
    <w:basedOn w:val="11"/>
    <w:qFormat/>
    <w:uiPriority w:val="0"/>
  </w:style>
  <w:style w:type="character" w:customStyle="1" w:styleId="36">
    <w:name w:val="citation-439"/>
    <w:basedOn w:val="11"/>
    <w:uiPriority w:val="0"/>
  </w:style>
  <w:style w:type="character" w:customStyle="1" w:styleId="37">
    <w:name w:val="citation-438"/>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467</Words>
  <Characters>1646</Characters>
  <Lines>19</Lines>
  <Paragraphs>5</Paragraphs>
  <TotalTime>1</TotalTime>
  <ScaleCrop>false</ScaleCrop>
  <LinksUpToDate>false</LinksUpToDate>
  <CharactersWithSpaces>2090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2026-03-16T10:09:00Z</dcterms:created>
  <dc:creator>Thanh Tiền</dc:creator>
  <cp:lastModifiedBy>1900 Trường</cp:lastModifiedBy>
  <dcterms:modified xsi:type="dcterms:W3CDTF">2026-07-15T02:25:44Z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eyJoZGlkIjoiNTJiNWZlMDgxMjg0MmRlMjU0ZmUxOTg5MDU0YzgwOWUiLCJ1c2VySWQiOiI4ODEzNDA1NzUyNzA2In0=</vt:lpwstr>
  </property>
  <property fmtid="{D5CDD505-2E9C-101B-9397-08002B2CF9AE}" pid="3" name="KSOProductBuildVer">
    <vt:lpwstr>1033-12.1.0.26880</vt:lpwstr>
  </property>
  <property fmtid="{D5CDD505-2E9C-101B-9397-08002B2CF9AE}" pid="4" name="ICV">
    <vt:lpwstr>2DA5A52D80DB4DD290A2FF6E5BCF0265_13</vt:lpwstr>
  </property>
</Properties>
</file>