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Summary Statistics of the variables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97"/>
        <w:gridCol w:w="1084"/>
        <w:gridCol w:w="1328"/>
        <w:gridCol w:w="1084"/>
        <w:gridCol w:w="1084"/>
        <w:gridCol w:w="1817"/>
      </w:tblGrid>
      <w:tr>
        <w:trPr>
          <w:trHeight w:val="57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Std. dev.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Observations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INF overall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9.372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3627</w:t>
            </w:r>
          </w:p>
        </w:tc>
      </w:tr>
      <w:tr>
        <w:trPr>
          <w:trHeight w:val="57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88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T-bar = 41.22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FDI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3627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24.691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88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T-bar = 41.22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3627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88</w:t>
            </w:r>
          </w:p>
        </w:tc>
      </w:tr>
      <w:tr>
        <w:trPr>
          <w:trHeight w:val="57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26.624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T-bar = 41.22</w:t>
            </w:r>
          </w:p>
        </w:tc>
      </w:tr>
      <w:tr>
        <w:trPr>
          <w:trHeight w:val="57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POP overall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3627</w:t>
            </w:r>
          </w:p>
        </w:tc>
      </w:tr>
      <w:tr>
        <w:trPr>
          <w:trHeight w:val="57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between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88</w:t>
            </w:r>
          </w:p>
        </w:tc>
      </w:tr>
      <w:tr>
        <w:trPr>
          <w:trHeight w:val="571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within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15.200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T-bar = 41.22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2026-04-08T21:21:36Z</dcterms:modified>
  <cp:category/>
</cp:coreProperties>
</file>