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8879" w14:textId="50336126" w:rsidR="0018103A" w:rsidRPr="0018103A" w:rsidRDefault="0018103A" w:rsidP="0018103A">
      <w:pPr>
        <w:pStyle w:val="Title"/>
        <w:rPr>
          <w:rFonts w:ascii="Times New Roman" w:eastAsia="Times New Roman" w:hAnsi="Times New Roman" w:cs="Times New Roman"/>
          <w:b/>
          <w:bCs/>
          <w:kern w:val="0"/>
          <w:sz w:val="48"/>
          <w:szCs w:val="48"/>
          <w:lang w:val="vi-VN"/>
          <w14:ligatures w14:val="none"/>
        </w:rPr>
      </w:pPr>
      <w:r w:rsidRPr="0018103A">
        <w:rPr>
          <w:rFonts w:ascii="Times New Roman" w:hAnsi="Times New Roman" w:cs="Times New Roman"/>
          <w:b/>
          <w:bCs/>
          <w:sz w:val="48"/>
          <w:szCs w:val="48"/>
        </w:rPr>
        <w:t>LAB 8 - Deployment View &amp; Quality Attribute Analysis (ATAM)</w:t>
      </w:r>
    </w:p>
    <w:p w14:paraId="64098D92" w14:textId="46698DED" w:rsidR="0018103A" w:rsidRPr="0018103A" w:rsidRDefault="0018103A" w:rsidP="0018103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103A">
        <w:rPr>
          <w:rFonts w:ascii="Times New Roman" w:eastAsia="Times New Roman" w:hAnsi="Times New Roman" w:cs="Times New Roman"/>
          <w:b/>
          <w:bCs/>
          <w:kern w:val="0"/>
          <w:sz w:val="36"/>
          <w:szCs w:val="36"/>
          <w14:ligatures w14:val="none"/>
        </w:rPr>
        <w:t>1. UML Deployment Diagram</w:t>
      </w:r>
    </w:p>
    <w:p w14:paraId="5D88F35A" w14:textId="52D0FE4C" w:rsidR="0018103A" w:rsidRDefault="0018103A" w:rsidP="0018103A">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sidRPr="0018103A">
        <w:rPr>
          <w:rFonts w:ascii="Times New Roman" w:eastAsia="Times New Roman" w:hAnsi="Times New Roman" w:cs="Times New Roman"/>
          <w:b/>
          <w:bCs/>
          <w:kern w:val="0"/>
          <w:sz w:val="27"/>
          <w:szCs w:val="27"/>
          <w14:ligatures w14:val="none"/>
        </w:rPr>
        <w:t xml:space="preserve">Deployment Diagram </w:t>
      </w:r>
    </w:p>
    <w:p w14:paraId="5F136A66" w14:textId="328C3B85" w:rsidR="0018103A" w:rsidRPr="0018103A" w:rsidRDefault="0018103A" w:rsidP="0018103A">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lang w:val="vi-VN"/>
        </w:rPr>
        <w:drawing>
          <wp:inline distT="0" distB="0" distL="0" distR="0" wp14:anchorId="48D4319C" wp14:editId="6F526060">
            <wp:extent cx="5943600" cy="5661660"/>
            <wp:effectExtent l="0" t="0" r="0" b="0"/>
            <wp:docPr id="191095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8045" name="Picture 1910958045"/>
                    <pic:cNvPicPr/>
                  </pic:nvPicPr>
                  <pic:blipFill>
                    <a:blip r:embed="rId9">
                      <a:extLst>
                        <a:ext uri="{28A0092B-C50C-407E-A947-70E740481C1C}">
                          <a14:useLocalDpi xmlns:a14="http://schemas.microsoft.com/office/drawing/2010/main" val="0"/>
                        </a:ext>
                      </a:extLst>
                    </a:blip>
                    <a:stretch>
                      <a:fillRect/>
                    </a:stretch>
                  </pic:blipFill>
                  <pic:spPr>
                    <a:xfrm>
                      <a:off x="0" y="0"/>
                      <a:ext cx="5943600" cy="5661660"/>
                    </a:xfrm>
                    <a:prstGeom prst="rect">
                      <a:avLst/>
                    </a:prstGeom>
                  </pic:spPr>
                </pic:pic>
              </a:graphicData>
            </a:graphic>
          </wp:inline>
        </w:drawing>
      </w:r>
    </w:p>
    <w:p w14:paraId="385B404D" w14:textId="77777777" w:rsidR="0018103A" w:rsidRPr="0018103A" w:rsidRDefault="0018103A" w:rsidP="001810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103A">
        <w:rPr>
          <w:rFonts w:ascii="Times New Roman" w:eastAsia="Times New Roman" w:hAnsi="Times New Roman" w:cs="Times New Roman"/>
          <w:b/>
          <w:bCs/>
          <w:kern w:val="0"/>
          <w:sz w:val="27"/>
          <w:szCs w:val="27"/>
          <w14:ligatures w14:val="none"/>
        </w:rPr>
        <w:t>Communication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000"/>
        <w:gridCol w:w="942"/>
      </w:tblGrid>
      <w:tr w:rsidR="0018103A" w:rsidRPr="0018103A" w14:paraId="36AD6836" w14:textId="77777777">
        <w:trPr>
          <w:tblHeader/>
          <w:tblCellSpacing w:w="15" w:type="dxa"/>
        </w:trPr>
        <w:tc>
          <w:tcPr>
            <w:tcW w:w="0" w:type="auto"/>
            <w:vAlign w:val="center"/>
            <w:hideMark/>
          </w:tcPr>
          <w:p w14:paraId="1FBE9594"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lastRenderedPageBreak/>
              <w:t>Source</w:t>
            </w:r>
          </w:p>
        </w:tc>
        <w:tc>
          <w:tcPr>
            <w:tcW w:w="0" w:type="auto"/>
            <w:vAlign w:val="center"/>
            <w:hideMark/>
          </w:tcPr>
          <w:p w14:paraId="6D7D0CCE"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t>Destination</w:t>
            </w:r>
          </w:p>
        </w:tc>
        <w:tc>
          <w:tcPr>
            <w:tcW w:w="0" w:type="auto"/>
            <w:vAlign w:val="center"/>
            <w:hideMark/>
          </w:tcPr>
          <w:p w14:paraId="716123F5"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t>Protocol</w:t>
            </w:r>
          </w:p>
        </w:tc>
      </w:tr>
      <w:tr w:rsidR="0018103A" w:rsidRPr="0018103A" w14:paraId="556B9DA6" w14:textId="77777777">
        <w:trPr>
          <w:tblCellSpacing w:w="15" w:type="dxa"/>
        </w:trPr>
        <w:tc>
          <w:tcPr>
            <w:tcW w:w="0" w:type="auto"/>
            <w:vAlign w:val="center"/>
            <w:hideMark/>
          </w:tcPr>
          <w:p w14:paraId="3583C35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Client Device</w:t>
            </w:r>
          </w:p>
        </w:tc>
        <w:tc>
          <w:tcPr>
            <w:tcW w:w="0" w:type="auto"/>
            <w:vAlign w:val="center"/>
            <w:hideMark/>
          </w:tcPr>
          <w:p w14:paraId="1AE9FE1B"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Load Balancer</w:t>
            </w:r>
          </w:p>
        </w:tc>
        <w:tc>
          <w:tcPr>
            <w:tcW w:w="0" w:type="auto"/>
            <w:vAlign w:val="center"/>
            <w:hideMark/>
          </w:tcPr>
          <w:p w14:paraId="1DC6244F"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HTTPS</w:t>
            </w:r>
          </w:p>
        </w:tc>
      </w:tr>
      <w:tr w:rsidR="0018103A" w:rsidRPr="0018103A" w14:paraId="0F8EA8DB" w14:textId="77777777">
        <w:trPr>
          <w:tblCellSpacing w:w="15" w:type="dxa"/>
        </w:trPr>
        <w:tc>
          <w:tcPr>
            <w:tcW w:w="0" w:type="auto"/>
            <w:vAlign w:val="center"/>
            <w:hideMark/>
          </w:tcPr>
          <w:p w14:paraId="1C8BD6ED"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Load Balancer</w:t>
            </w:r>
          </w:p>
        </w:tc>
        <w:tc>
          <w:tcPr>
            <w:tcW w:w="0" w:type="auto"/>
            <w:vAlign w:val="center"/>
            <w:hideMark/>
          </w:tcPr>
          <w:p w14:paraId="3BC111F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API Gateway</w:t>
            </w:r>
          </w:p>
        </w:tc>
        <w:tc>
          <w:tcPr>
            <w:tcW w:w="0" w:type="auto"/>
            <w:vAlign w:val="center"/>
            <w:hideMark/>
          </w:tcPr>
          <w:p w14:paraId="78DB490E"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HTTP</w:t>
            </w:r>
          </w:p>
        </w:tc>
      </w:tr>
      <w:tr w:rsidR="0018103A" w:rsidRPr="0018103A" w14:paraId="3A4FADE2" w14:textId="77777777">
        <w:trPr>
          <w:tblCellSpacing w:w="15" w:type="dxa"/>
        </w:trPr>
        <w:tc>
          <w:tcPr>
            <w:tcW w:w="0" w:type="auto"/>
            <w:vAlign w:val="center"/>
            <w:hideMark/>
          </w:tcPr>
          <w:p w14:paraId="6EF09C51"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API Gateway</w:t>
            </w:r>
          </w:p>
        </w:tc>
        <w:tc>
          <w:tcPr>
            <w:tcW w:w="0" w:type="auto"/>
            <w:vAlign w:val="center"/>
            <w:hideMark/>
          </w:tcPr>
          <w:p w14:paraId="1FA9C990"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Product Service</w:t>
            </w:r>
          </w:p>
        </w:tc>
        <w:tc>
          <w:tcPr>
            <w:tcW w:w="0" w:type="auto"/>
            <w:vAlign w:val="center"/>
            <w:hideMark/>
          </w:tcPr>
          <w:p w14:paraId="4FA64FC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REST</w:t>
            </w:r>
          </w:p>
        </w:tc>
      </w:tr>
      <w:tr w:rsidR="0018103A" w:rsidRPr="0018103A" w14:paraId="05FBD846" w14:textId="77777777">
        <w:trPr>
          <w:tblCellSpacing w:w="15" w:type="dxa"/>
        </w:trPr>
        <w:tc>
          <w:tcPr>
            <w:tcW w:w="0" w:type="auto"/>
            <w:vAlign w:val="center"/>
            <w:hideMark/>
          </w:tcPr>
          <w:p w14:paraId="1DCE851B"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API Gateway</w:t>
            </w:r>
          </w:p>
        </w:tc>
        <w:tc>
          <w:tcPr>
            <w:tcW w:w="0" w:type="auto"/>
            <w:vAlign w:val="center"/>
            <w:hideMark/>
          </w:tcPr>
          <w:p w14:paraId="16D513A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Cart Service</w:t>
            </w:r>
          </w:p>
        </w:tc>
        <w:tc>
          <w:tcPr>
            <w:tcW w:w="0" w:type="auto"/>
            <w:vAlign w:val="center"/>
            <w:hideMark/>
          </w:tcPr>
          <w:p w14:paraId="075FEC60"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REST</w:t>
            </w:r>
          </w:p>
        </w:tc>
      </w:tr>
      <w:tr w:rsidR="0018103A" w:rsidRPr="0018103A" w14:paraId="486FB653" w14:textId="77777777">
        <w:trPr>
          <w:tblCellSpacing w:w="15" w:type="dxa"/>
        </w:trPr>
        <w:tc>
          <w:tcPr>
            <w:tcW w:w="0" w:type="auto"/>
            <w:vAlign w:val="center"/>
            <w:hideMark/>
          </w:tcPr>
          <w:p w14:paraId="29A4AE27"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API Gateway</w:t>
            </w:r>
          </w:p>
        </w:tc>
        <w:tc>
          <w:tcPr>
            <w:tcW w:w="0" w:type="auto"/>
            <w:vAlign w:val="center"/>
            <w:hideMark/>
          </w:tcPr>
          <w:p w14:paraId="2DB9D4E7"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Auth Service</w:t>
            </w:r>
          </w:p>
        </w:tc>
        <w:tc>
          <w:tcPr>
            <w:tcW w:w="0" w:type="auto"/>
            <w:vAlign w:val="center"/>
            <w:hideMark/>
          </w:tcPr>
          <w:p w14:paraId="4D296760"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REST</w:t>
            </w:r>
          </w:p>
        </w:tc>
      </w:tr>
      <w:tr w:rsidR="0018103A" w:rsidRPr="0018103A" w14:paraId="36DAF485" w14:textId="77777777">
        <w:trPr>
          <w:tblCellSpacing w:w="15" w:type="dxa"/>
        </w:trPr>
        <w:tc>
          <w:tcPr>
            <w:tcW w:w="0" w:type="auto"/>
            <w:vAlign w:val="center"/>
            <w:hideMark/>
          </w:tcPr>
          <w:p w14:paraId="00B26FF0"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API Gateway</w:t>
            </w:r>
          </w:p>
        </w:tc>
        <w:tc>
          <w:tcPr>
            <w:tcW w:w="0" w:type="auto"/>
            <w:vAlign w:val="center"/>
            <w:hideMark/>
          </w:tcPr>
          <w:p w14:paraId="587CFF3C"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Profile Service</w:t>
            </w:r>
          </w:p>
        </w:tc>
        <w:tc>
          <w:tcPr>
            <w:tcW w:w="0" w:type="auto"/>
            <w:vAlign w:val="center"/>
            <w:hideMark/>
          </w:tcPr>
          <w:p w14:paraId="4E5891B7"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REST</w:t>
            </w:r>
          </w:p>
        </w:tc>
      </w:tr>
      <w:tr w:rsidR="0018103A" w:rsidRPr="0018103A" w14:paraId="2E48688C" w14:textId="77777777">
        <w:trPr>
          <w:tblCellSpacing w:w="15" w:type="dxa"/>
        </w:trPr>
        <w:tc>
          <w:tcPr>
            <w:tcW w:w="0" w:type="auto"/>
            <w:vAlign w:val="center"/>
            <w:hideMark/>
          </w:tcPr>
          <w:p w14:paraId="08E36065"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API Gateway</w:t>
            </w:r>
          </w:p>
        </w:tc>
        <w:tc>
          <w:tcPr>
            <w:tcW w:w="0" w:type="auto"/>
            <w:vAlign w:val="center"/>
            <w:hideMark/>
          </w:tcPr>
          <w:p w14:paraId="15F5C083"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Order Service</w:t>
            </w:r>
          </w:p>
        </w:tc>
        <w:tc>
          <w:tcPr>
            <w:tcW w:w="0" w:type="auto"/>
            <w:vAlign w:val="center"/>
            <w:hideMark/>
          </w:tcPr>
          <w:p w14:paraId="0FE70F73"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REST</w:t>
            </w:r>
          </w:p>
        </w:tc>
      </w:tr>
      <w:tr w:rsidR="0018103A" w:rsidRPr="0018103A" w14:paraId="365B57C3" w14:textId="77777777">
        <w:trPr>
          <w:tblCellSpacing w:w="15" w:type="dxa"/>
        </w:trPr>
        <w:tc>
          <w:tcPr>
            <w:tcW w:w="0" w:type="auto"/>
            <w:vAlign w:val="center"/>
            <w:hideMark/>
          </w:tcPr>
          <w:p w14:paraId="2ADF9E6C"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Order Service</w:t>
            </w:r>
          </w:p>
        </w:tc>
        <w:tc>
          <w:tcPr>
            <w:tcW w:w="0" w:type="auto"/>
            <w:vAlign w:val="center"/>
            <w:hideMark/>
          </w:tcPr>
          <w:p w14:paraId="5FCD6DB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RabbitMQ</w:t>
            </w:r>
          </w:p>
        </w:tc>
        <w:tc>
          <w:tcPr>
            <w:tcW w:w="0" w:type="auto"/>
            <w:vAlign w:val="center"/>
            <w:hideMark/>
          </w:tcPr>
          <w:p w14:paraId="66F73FE6"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AMQP</w:t>
            </w:r>
          </w:p>
        </w:tc>
      </w:tr>
      <w:tr w:rsidR="0018103A" w:rsidRPr="0018103A" w14:paraId="228BCE53" w14:textId="77777777">
        <w:trPr>
          <w:tblCellSpacing w:w="15" w:type="dxa"/>
        </w:trPr>
        <w:tc>
          <w:tcPr>
            <w:tcW w:w="0" w:type="auto"/>
            <w:vAlign w:val="center"/>
            <w:hideMark/>
          </w:tcPr>
          <w:p w14:paraId="69429B52"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RabbitMQ</w:t>
            </w:r>
          </w:p>
        </w:tc>
        <w:tc>
          <w:tcPr>
            <w:tcW w:w="0" w:type="auto"/>
            <w:vAlign w:val="center"/>
            <w:hideMark/>
          </w:tcPr>
          <w:p w14:paraId="3B4D7D91"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Notification Service</w:t>
            </w:r>
          </w:p>
        </w:tc>
        <w:tc>
          <w:tcPr>
            <w:tcW w:w="0" w:type="auto"/>
            <w:vAlign w:val="center"/>
            <w:hideMark/>
          </w:tcPr>
          <w:p w14:paraId="26D70948"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AMQP</w:t>
            </w:r>
          </w:p>
        </w:tc>
      </w:tr>
    </w:tbl>
    <w:p w14:paraId="6876FE5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pict w14:anchorId="1C11702F">
          <v:rect id="_x0000_i1025" style="width:0;height:1.5pt" o:hralign="center" o:hrstd="t" o:hr="t" fillcolor="#a0a0a0" stroked="f"/>
        </w:pict>
      </w:r>
    </w:p>
    <w:p w14:paraId="38087F03" w14:textId="77777777" w:rsidR="0018103A" w:rsidRPr="0018103A" w:rsidRDefault="0018103A" w:rsidP="0018103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103A">
        <w:rPr>
          <w:rFonts w:ascii="Times New Roman" w:eastAsia="Times New Roman" w:hAnsi="Times New Roman" w:cs="Times New Roman"/>
          <w:b/>
          <w:bCs/>
          <w:kern w:val="36"/>
          <w:sz w:val="48"/>
          <w:szCs w:val="48"/>
          <w14:ligatures w14:val="none"/>
        </w:rPr>
        <w:t>2. ATAM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2412"/>
        <w:gridCol w:w="2678"/>
        <w:gridCol w:w="2986"/>
      </w:tblGrid>
      <w:tr w:rsidR="0018103A" w:rsidRPr="0018103A" w14:paraId="510A4271" w14:textId="77777777">
        <w:trPr>
          <w:tblHeader/>
          <w:tblCellSpacing w:w="15" w:type="dxa"/>
        </w:trPr>
        <w:tc>
          <w:tcPr>
            <w:tcW w:w="0" w:type="auto"/>
            <w:vAlign w:val="center"/>
            <w:hideMark/>
          </w:tcPr>
          <w:p w14:paraId="38FD7866"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t>Quality Attribute</w:t>
            </w:r>
          </w:p>
        </w:tc>
        <w:tc>
          <w:tcPr>
            <w:tcW w:w="0" w:type="auto"/>
            <w:vAlign w:val="center"/>
            <w:hideMark/>
          </w:tcPr>
          <w:p w14:paraId="6F00A084"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t>Scenario</w:t>
            </w:r>
          </w:p>
        </w:tc>
        <w:tc>
          <w:tcPr>
            <w:tcW w:w="0" w:type="auto"/>
            <w:vAlign w:val="center"/>
            <w:hideMark/>
          </w:tcPr>
          <w:p w14:paraId="061AE264"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t>Monolithic (Layered) Approach</w:t>
            </w:r>
          </w:p>
        </w:tc>
        <w:tc>
          <w:tcPr>
            <w:tcW w:w="0" w:type="auto"/>
            <w:vAlign w:val="center"/>
            <w:hideMark/>
          </w:tcPr>
          <w:p w14:paraId="506BC24F" w14:textId="77777777" w:rsidR="0018103A" w:rsidRPr="0018103A" w:rsidRDefault="0018103A" w:rsidP="0018103A">
            <w:pPr>
              <w:spacing w:after="0" w:line="240" w:lineRule="auto"/>
              <w:jc w:val="center"/>
              <w:rPr>
                <w:rFonts w:ascii="Times New Roman" w:eastAsia="Times New Roman" w:hAnsi="Times New Roman" w:cs="Times New Roman"/>
                <w:b/>
                <w:bCs/>
                <w:kern w:val="0"/>
                <w14:ligatures w14:val="none"/>
              </w:rPr>
            </w:pPr>
            <w:r w:rsidRPr="0018103A">
              <w:rPr>
                <w:rFonts w:ascii="Times New Roman" w:eastAsia="Times New Roman" w:hAnsi="Times New Roman" w:cs="Times New Roman"/>
                <w:b/>
                <w:bCs/>
                <w:kern w:val="0"/>
                <w14:ligatures w14:val="none"/>
              </w:rPr>
              <w:t>Microservices Approach</w:t>
            </w:r>
          </w:p>
        </w:tc>
      </w:tr>
      <w:tr w:rsidR="0018103A" w:rsidRPr="0018103A" w14:paraId="063C0DEC" w14:textId="77777777">
        <w:trPr>
          <w:tblCellSpacing w:w="15" w:type="dxa"/>
        </w:trPr>
        <w:tc>
          <w:tcPr>
            <w:tcW w:w="0" w:type="auto"/>
            <w:vAlign w:val="center"/>
            <w:hideMark/>
          </w:tcPr>
          <w:p w14:paraId="11A3B88E"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Scalability</w:t>
            </w:r>
          </w:p>
        </w:tc>
        <w:tc>
          <w:tcPr>
            <w:tcW w:w="0" w:type="auto"/>
            <w:vAlign w:val="center"/>
            <w:hideMark/>
          </w:tcPr>
          <w:p w14:paraId="50EBC85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SS1: During a 5-minute Black Friday promotion, the system must handle a 10x increase in users viewing products and adding items to carts.</w:t>
            </w:r>
          </w:p>
        </w:tc>
        <w:tc>
          <w:tcPr>
            <w:tcW w:w="0" w:type="auto"/>
            <w:vAlign w:val="center"/>
            <w:hideMark/>
          </w:tcPr>
          <w:p w14:paraId="0071D0FB"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The entire application must be scaled together, including UI, business logic, and database. This wastes resources because only a few functions need extra capacity.</w:t>
            </w:r>
          </w:p>
        </w:tc>
        <w:tc>
          <w:tcPr>
            <w:tcW w:w="0" w:type="auto"/>
            <w:vAlign w:val="center"/>
            <w:hideMark/>
          </w:tcPr>
          <w:p w14:paraId="296AEE13"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Product Service and Cart Service can be scaled independently. Additional instances can be deployed only for heavily loaded services. This is more efficient and cost-effective.</w:t>
            </w:r>
          </w:p>
        </w:tc>
      </w:tr>
      <w:tr w:rsidR="0018103A" w:rsidRPr="0018103A" w14:paraId="31AFFC8F" w14:textId="77777777">
        <w:trPr>
          <w:tblCellSpacing w:w="15" w:type="dxa"/>
        </w:trPr>
        <w:tc>
          <w:tcPr>
            <w:tcW w:w="0" w:type="auto"/>
            <w:vAlign w:val="center"/>
            <w:hideMark/>
          </w:tcPr>
          <w:p w14:paraId="48EECC7F"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Availability</w:t>
            </w:r>
          </w:p>
        </w:tc>
        <w:tc>
          <w:tcPr>
            <w:tcW w:w="0" w:type="auto"/>
            <w:vAlign w:val="center"/>
            <w:hideMark/>
          </w:tcPr>
          <w:p w14:paraId="0C27F75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AS1: Notification Service fails for 1 hour because of a deployment error. The system must continue accepting orders.</w:t>
            </w:r>
          </w:p>
        </w:tc>
        <w:tc>
          <w:tcPr>
            <w:tcW w:w="0" w:type="auto"/>
            <w:vAlign w:val="center"/>
            <w:hideMark/>
          </w:tcPr>
          <w:p w14:paraId="7448CCF9"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If notification functionality is integrated into the main application flow, order processing may fail or become slower, reducing system availability.</w:t>
            </w:r>
          </w:p>
        </w:tc>
        <w:tc>
          <w:tcPr>
            <w:tcW w:w="0" w:type="auto"/>
            <w:vAlign w:val="center"/>
            <w:hideMark/>
          </w:tcPr>
          <w:p w14:paraId="27EC5CC7" w14:textId="77777777" w:rsidR="0018103A" w:rsidRPr="0018103A" w:rsidRDefault="0018103A" w:rsidP="0018103A">
            <w:pPr>
              <w:spacing w:after="0"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Order Service publishes events to RabbitMQ. Even if Notification Service is unavailable, orders are still processed normally. Messages remain in the queue and are han</w:t>
            </w:r>
          </w:p>
        </w:tc>
      </w:tr>
    </w:tbl>
    <w:p w14:paraId="0732140D" w14:textId="77777777" w:rsidR="0018103A" w:rsidRPr="0018103A" w:rsidRDefault="0018103A" w:rsidP="0018103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103A">
        <w:rPr>
          <w:rFonts w:ascii="Times New Roman" w:eastAsia="Times New Roman" w:hAnsi="Times New Roman" w:cs="Times New Roman"/>
          <w:b/>
          <w:bCs/>
          <w:kern w:val="36"/>
          <w:sz w:val="48"/>
          <w:szCs w:val="48"/>
          <w14:ligatures w14:val="none"/>
        </w:rPr>
        <w:t>3. Trade-off Statement</w:t>
      </w:r>
    </w:p>
    <w:p w14:paraId="2737EB66" w14:textId="77777777" w:rsidR="0018103A" w:rsidRPr="0018103A" w:rsidRDefault="0018103A" w:rsidP="0018103A">
      <w:pPr>
        <w:spacing w:before="100" w:beforeAutospacing="1" w:after="100" w:afterAutospacing="1" w:line="240" w:lineRule="auto"/>
        <w:rPr>
          <w:rFonts w:ascii="Times New Roman" w:eastAsia="Times New Roman" w:hAnsi="Times New Roman" w:cs="Times New Roman"/>
          <w:kern w:val="0"/>
          <w14:ligatures w14:val="none"/>
        </w:rPr>
      </w:pPr>
      <w:r w:rsidRPr="0018103A">
        <w:rPr>
          <w:rFonts w:ascii="Times New Roman" w:eastAsia="Times New Roman" w:hAnsi="Times New Roman" w:cs="Times New Roman"/>
          <w:kern w:val="0"/>
          <w14:ligatures w14:val="none"/>
        </w:rPr>
        <w:t>The Microservices Architecture provides better scalability and availability than the Monolithic Architecture. Services such as Product Service and Cart Service can be scaled independently to handle increased traffic, improving resource efficiency. Through the use of RabbitMQ and event-driven communication, failures in Notification Service do not affect Order Service, ensuring fault isolation and higher availability. However, Microservices introduce additional complexity, including service deployment, API Gateway management, message brokers, monitoring, and database management. In contrast, the Monolithic Architecture is simpler to develop and deploy but offers lower scalability and resilience.</w:t>
      </w:r>
    </w:p>
    <w:p w14:paraId="33228288" w14:textId="77777777" w:rsidR="00E51F68" w:rsidRDefault="00E51F68"/>
    <w:sectPr w:rsidR="00E51F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F138" w14:textId="77777777" w:rsidR="0018103A" w:rsidRDefault="0018103A" w:rsidP="0018103A">
      <w:pPr>
        <w:spacing w:after="0" w:line="240" w:lineRule="auto"/>
      </w:pPr>
      <w:r>
        <w:separator/>
      </w:r>
    </w:p>
  </w:endnote>
  <w:endnote w:type="continuationSeparator" w:id="0">
    <w:p w14:paraId="12FEE8AF" w14:textId="77777777" w:rsidR="0018103A" w:rsidRDefault="0018103A" w:rsidP="00181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C7946" w14:textId="77777777" w:rsidR="0018103A" w:rsidRDefault="0018103A" w:rsidP="0018103A">
      <w:pPr>
        <w:spacing w:after="0" w:line="240" w:lineRule="auto"/>
      </w:pPr>
      <w:r>
        <w:separator/>
      </w:r>
    </w:p>
  </w:footnote>
  <w:footnote w:type="continuationSeparator" w:id="0">
    <w:p w14:paraId="6FA502CE" w14:textId="77777777" w:rsidR="0018103A" w:rsidRDefault="0018103A" w:rsidP="001810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3A"/>
    <w:rsid w:val="0018103A"/>
    <w:rsid w:val="003D1FC5"/>
    <w:rsid w:val="00A92BB5"/>
    <w:rsid w:val="00BF1D16"/>
    <w:rsid w:val="00C92C23"/>
    <w:rsid w:val="00CA25FA"/>
    <w:rsid w:val="00E51F68"/>
    <w:rsid w:val="00E74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C1D5"/>
  <w15:chartTrackingRefBased/>
  <w15:docId w15:val="{1152E746-CEC7-45C3-AA69-5125958AB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0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0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0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0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03A"/>
    <w:rPr>
      <w:rFonts w:eastAsiaTheme="majorEastAsia" w:cstheme="majorBidi"/>
      <w:color w:val="272727" w:themeColor="text1" w:themeTint="D8"/>
    </w:rPr>
  </w:style>
  <w:style w:type="paragraph" w:styleId="Title">
    <w:name w:val="Title"/>
    <w:basedOn w:val="Normal"/>
    <w:next w:val="Normal"/>
    <w:link w:val="TitleChar"/>
    <w:uiPriority w:val="10"/>
    <w:qFormat/>
    <w:rsid w:val="0018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03A"/>
    <w:pPr>
      <w:spacing w:before="160"/>
      <w:jc w:val="center"/>
    </w:pPr>
    <w:rPr>
      <w:i/>
      <w:iCs/>
      <w:color w:val="404040" w:themeColor="text1" w:themeTint="BF"/>
    </w:rPr>
  </w:style>
  <w:style w:type="character" w:customStyle="1" w:styleId="QuoteChar">
    <w:name w:val="Quote Char"/>
    <w:basedOn w:val="DefaultParagraphFont"/>
    <w:link w:val="Quote"/>
    <w:uiPriority w:val="29"/>
    <w:rsid w:val="0018103A"/>
    <w:rPr>
      <w:i/>
      <w:iCs/>
      <w:color w:val="404040" w:themeColor="text1" w:themeTint="BF"/>
    </w:rPr>
  </w:style>
  <w:style w:type="paragraph" w:styleId="ListParagraph">
    <w:name w:val="List Paragraph"/>
    <w:basedOn w:val="Normal"/>
    <w:uiPriority w:val="34"/>
    <w:qFormat/>
    <w:rsid w:val="0018103A"/>
    <w:pPr>
      <w:ind w:left="720"/>
      <w:contextualSpacing/>
    </w:pPr>
  </w:style>
  <w:style w:type="character" w:styleId="IntenseEmphasis">
    <w:name w:val="Intense Emphasis"/>
    <w:basedOn w:val="DefaultParagraphFont"/>
    <w:uiPriority w:val="21"/>
    <w:qFormat/>
    <w:rsid w:val="0018103A"/>
    <w:rPr>
      <w:i/>
      <w:iCs/>
      <w:color w:val="2F5496" w:themeColor="accent1" w:themeShade="BF"/>
    </w:rPr>
  </w:style>
  <w:style w:type="paragraph" w:styleId="IntenseQuote">
    <w:name w:val="Intense Quote"/>
    <w:basedOn w:val="Normal"/>
    <w:next w:val="Normal"/>
    <w:link w:val="IntenseQuoteChar"/>
    <w:uiPriority w:val="30"/>
    <w:qFormat/>
    <w:rsid w:val="00181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03A"/>
    <w:rPr>
      <w:i/>
      <w:iCs/>
      <w:color w:val="2F5496" w:themeColor="accent1" w:themeShade="BF"/>
    </w:rPr>
  </w:style>
  <w:style w:type="character" w:styleId="IntenseReference">
    <w:name w:val="Intense Reference"/>
    <w:basedOn w:val="DefaultParagraphFont"/>
    <w:uiPriority w:val="32"/>
    <w:qFormat/>
    <w:rsid w:val="0018103A"/>
    <w:rPr>
      <w:b/>
      <w:bCs/>
      <w:smallCaps/>
      <w:color w:val="2F5496" w:themeColor="accent1" w:themeShade="BF"/>
      <w:spacing w:val="5"/>
    </w:rPr>
  </w:style>
  <w:style w:type="paragraph" w:styleId="Header">
    <w:name w:val="header"/>
    <w:basedOn w:val="Normal"/>
    <w:link w:val="HeaderChar"/>
    <w:uiPriority w:val="99"/>
    <w:unhideWhenUsed/>
    <w:rsid w:val="00181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03A"/>
  </w:style>
  <w:style w:type="paragraph" w:styleId="Footer">
    <w:name w:val="footer"/>
    <w:basedOn w:val="Normal"/>
    <w:link w:val="FooterChar"/>
    <w:uiPriority w:val="99"/>
    <w:unhideWhenUsed/>
    <w:rsid w:val="00181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19D980F041DAA0449CEB6AB4F936A98F" ma:contentTypeVersion="4" ma:contentTypeDescription="Tạo tài liệu mới." ma:contentTypeScope="" ma:versionID="2a2ebd5f10ac5428eb9469f0503f6d7d">
  <xsd:schema xmlns:xsd="http://www.w3.org/2001/XMLSchema" xmlns:xs="http://www.w3.org/2001/XMLSchema" xmlns:p="http://schemas.microsoft.com/office/2006/metadata/properties" xmlns:ns3="a6bd13b4-8acb-430f-836d-b4c49be3f359" targetNamespace="http://schemas.microsoft.com/office/2006/metadata/properties" ma:root="true" ma:fieldsID="cd734d7a91d46cbf0d99a283c98ee96e" ns3:_="">
    <xsd:import namespace="a6bd13b4-8acb-430f-836d-b4c49be3f35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d13b4-8acb-430f-836d-b4c49be3f3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EA2F0C-D01D-4117-9319-1F9C0C2E54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d13b4-8acb-430f-836d-b4c49be3f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561F2A-2B7B-49B0-B70C-32743749FC0D}">
  <ds:schemaRefs>
    <ds:schemaRef ds:uri="http://schemas.microsoft.com/sharepoint/v3/contenttype/forms"/>
  </ds:schemaRefs>
</ds:datastoreItem>
</file>

<file path=customXml/itemProps3.xml><?xml version="1.0" encoding="utf-8"?>
<ds:datastoreItem xmlns:ds="http://schemas.openxmlformats.org/officeDocument/2006/customXml" ds:itemID="{65EAD089-8853-474A-B9F0-EAA736BDA6D0}">
  <ds:schemaRefs>
    <ds:schemaRef ds:uri="http://schemas.microsoft.com/office/2006/documentManagement/types"/>
    <ds:schemaRef ds:uri="http://schemas.microsoft.com/office/2006/metadata/properties"/>
    <ds:schemaRef ds:uri="http://purl.org/dc/dcmitype/"/>
    <ds:schemaRef ds:uri="http://www.w3.org/XML/1998/namespace"/>
    <ds:schemaRef ds:uri="http://purl.org/dc/terms/"/>
    <ds:schemaRef ds:uri="http://purl.org/dc/elements/1.1/"/>
    <ds:schemaRef ds:uri="http://schemas.microsoft.com/office/infopath/2007/PartnerControls"/>
    <ds:schemaRef ds:uri="http://schemas.openxmlformats.org/package/2006/metadata/core-properties"/>
    <ds:schemaRef ds:uri="a6bd13b4-8acb-430f-836d-b4c49be3f359"/>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Toan</dc:creator>
  <cp:keywords/>
  <dc:description/>
  <cp:lastModifiedBy>Vu Quoc Toan</cp:lastModifiedBy>
  <cp:revision>2</cp:revision>
  <dcterms:created xsi:type="dcterms:W3CDTF">2026-06-17T13:24:00Z</dcterms:created>
  <dcterms:modified xsi:type="dcterms:W3CDTF">2026-06-17T13:24:00Z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0x01010019D980F041DAA0449CEB6AB4F936A98F</vt:lpwstr>
  </property>
</Properties>
</file>