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center"/>
      </w:pPr>
      <w:r>
        <w:rPr>
          <w:rFonts w:ascii="Times New Roman" w:cs="Times New Roman" w:eastAsia="Times New Roman" w:hAnsi="Times New Roman"/>
          <w:b/>
          <w:bCs/>
          <w:sz w:val="26"/>
          <w:szCs w:val="26"/>
        </w:rPr>
        <w:t xml:space="preserve">TRƯỜNG ĐẠI HỌC CẦN THƠ</w:t>
      </w:r>
    </w:p>
    <w:p>
      <w:pPr>
        <w:spacing w:after="200" w:line="300"/>
        <w:jc w:val="center"/>
      </w:pPr>
      <w:r>
        <w:rPr>
          <w:rFonts w:ascii="Times New Roman" w:cs="Times New Roman" w:eastAsia="Times New Roman" w:hAnsi="Times New Roman"/>
          <w:sz w:val="26"/>
          <w:szCs w:val="26"/>
        </w:rPr>
        <w:t xml:space="preserve">Học phần: Nền tảng Công nghệ số</w:t>
      </w:r>
    </w:p>
    <w:p>
      <w:pPr>
        <w:spacing w:after="60" w:line="300"/>
        <w:jc w:val="center"/>
      </w:pPr>
      <w:r>
        <w:rPr>
          <w:rFonts w:ascii="Times New Roman" w:cs="Times New Roman" w:eastAsia="Times New Roman" w:hAnsi="Times New Roman"/>
          <w:b/>
          <w:bCs/>
          <w:sz w:val="30"/>
          <w:szCs w:val="30"/>
        </w:rPr>
        <w:t xml:space="preserve">BÁO CÁO THỰC HÀNH BUỔI 6, BÀI 4</w:t>
      </w:r>
    </w:p>
    <w:p>
      <w:pPr>
        <w:spacing w:after="160" w:line="300"/>
        <w:jc w:val="center"/>
      </w:pPr>
      <w:r>
        <w:rPr>
          <w:rFonts w:ascii="Times New Roman" w:cs="Times New Roman" w:eastAsia="Times New Roman" w:hAnsi="Times New Roman"/>
          <w:b/>
          <w:bCs/>
          <w:sz w:val="26"/>
          <w:szCs w:val="26"/>
        </w:rPr>
        <w:t xml:space="preserve">Đánh giá nguồn thông tin về hệ thống cơ sở dữ liệu SQL so với NoSQL bằng bài kiểm tra CRAAP</w:t>
      </w:r>
    </w:p>
    <w:p>
      <w:pPr>
        <w:spacing w:after="40" w:line="300"/>
        <w:jc w:val="center"/>
      </w:pPr>
      <w:r>
        <w:rPr>
          <w:rFonts w:ascii="Times New Roman" w:cs="Times New Roman" w:eastAsia="Times New Roman" w:hAnsi="Times New Roman"/>
          <w:b/>
          <w:bCs/>
          <w:sz w:val="26"/>
          <w:szCs w:val="26"/>
        </w:rPr>
        <w:t xml:space="preserve">Nhóm 4</w:t>
      </w:r>
    </w:p>
    <w:p>
      <w:pPr>
        <w:spacing w:after="40" w:line="300"/>
        <w:jc w:val="center"/>
      </w:pPr>
      <w:r>
        <w:rPr>
          <w:rFonts w:ascii="Times New Roman" w:cs="Times New Roman" w:eastAsia="Times New Roman" w:hAnsi="Times New Roman"/>
          <w:b/>
          <w:bCs/>
          <w:sz w:val="26"/>
          <w:szCs w:val="26"/>
        </w:rPr>
        <w:t xml:space="preserve">Thành viên: </w:t>
      </w:r>
    </w:p>
    <w:p>
      <w:pPr>
        <w:spacing w:after="0" w:line="300"/>
        <w:jc w:val="center"/>
      </w:pPr>
      <w:r>
        <w:rPr>
          <w:rFonts w:ascii="Times New Roman" w:cs="Times New Roman" w:eastAsia="Times New Roman" w:hAnsi="Times New Roman"/>
          <w:sz w:val="26"/>
          <w:szCs w:val="26"/>
        </w:rPr>
        <w:t xml:space="preserve">B2613104  Hồ Nguyễn Minh Huy</w:t>
      </w:r>
    </w:p>
    <w:p>
      <w:pPr>
        <w:spacing w:after="0" w:line="300"/>
        <w:jc w:val="center"/>
      </w:pPr>
      <w:r>
        <w:rPr>
          <w:rFonts w:ascii="Times New Roman" w:cs="Times New Roman" w:eastAsia="Times New Roman" w:hAnsi="Times New Roman"/>
          <w:sz w:val="26"/>
          <w:szCs w:val="26"/>
        </w:rPr>
        <w:t xml:space="preserve">B2613105  Nguyễn Đức Huy</w:t>
      </w:r>
    </w:p>
    <w:p>
      <w:pPr>
        <w:spacing w:after="0" w:line="300"/>
        <w:jc w:val="center"/>
      </w:pPr>
      <w:r>
        <w:rPr>
          <w:rFonts w:ascii="Times New Roman" w:cs="Times New Roman" w:eastAsia="Times New Roman" w:hAnsi="Times New Roman"/>
          <w:sz w:val="26"/>
          <w:szCs w:val="26"/>
        </w:rPr>
        <w:t xml:space="preserve">B2613106  Nguyễn Quốc Huy</w:t>
      </w:r>
    </w:p>
    <w:p>
      <w:pPr>
        <w:spacing w:after="200" w:line="300"/>
        <w:jc w:val="center"/>
      </w:pPr>
      <w:r>
        <w:rPr>
          <w:rFonts w:ascii="Times New Roman" w:cs="Times New Roman" w:eastAsia="Times New Roman" w:hAnsi="Times New Roman"/>
          <w:sz w:val="26"/>
          <w:szCs w:val="26"/>
        </w:rPr>
        <w:t xml:space="preserve">B2613107  Nguyễn Mạnh Khang</w:t>
      </w:r>
    </w:p>
    <w:p>
      <w:pPr>
        <w:pStyle w:val="Heading1"/>
        <w:spacing w:after="120" w:before="240"/>
      </w:pPr>
      <w:r>
        <w:rPr>
          <w:rFonts w:ascii="Times New Roman" w:cs="Times New Roman" w:eastAsia="Times New Roman" w:hAnsi="Times New Roman"/>
          <w:b/>
          <w:bCs/>
          <w:color w:val="000000"/>
          <w:sz w:val="28"/>
          <w:szCs w:val="28"/>
        </w:rPr>
        <w:t xml:space="preserve">1. Câu hỏi nghiên cứu và chiến lược tìm kiếm</w:t>
      </w:r>
    </w:p>
    <w:p>
      <w:pPr>
        <w:spacing w:after="120" w:line="300"/>
        <w:jc w:val="both"/>
      </w:pPr>
      <w:r>
        <w:rPr>
          <w:rFonts w:ascii="Times New Roman" w:cs="Times New Roman" w:eastAsia="Times New Roman" w:hAnsi="Times New Roman"/>
          <w:b/>
          <w:bCs/>
          <w:sz w:val="26"/>
          <w:szCs w:val="26"/>
        </w:rPr>
        <w:t xml:space="preserve">Câu hỏi nghiên cứu: </w:t>
      </w:r>
      <w:r>
        <w:rPr>
          <w:rFonts w:ascii="Times New Roman" w:cs="Times New Roman" w:eastAsia="Times New Roman" w:hAnsi="Times New Roman"/>
          <w:sz w:val="26"/>
          <w:szCs w:val="26"/>
        </w:rPr>
        <w:t xml:space="preserve">Ưu điểm và nhược điểm của CSDL SQL so với NoSQL khi xử lý dữ liệu lớn trong các ứng dụng IT là gì, xét trên hai mặt khả năng mở rộng và tính nhất quán dữ liệu?</w:t>
      </w:r>
    </w:p>
    <w:p>
      <w:pPr>
        <w:spacing w:after="120" w:line="300"/>
        <w:jc w:val="both"/>
      </w:pPr>
      <w:r>
        <w:rPr>
          <w:rFonts w:ascii="Times New Roman" w:cs="Times New Roman" w:eastAsia="Times New Roman" w:hAnsi="Times New Roman"/>
          <w:b/>
          <w:bCs/>
          <w:sz w:val="26"/>
          <w:szCs w:val="26"/>
        </w:rPr>
        <w:t xml:space="preserve">Từ khóa: </w:t>
      </w:r>
      <w:r>
        <w:rPr>
          <w:rFonts w:ascii="Times New Roman" w:cs="Times New Roman" w:eastAsia="Times New Roman" w:hAnsi="Times New Roman"/>
          <w:sz w:val="26"/>
          <w:szCs w:val="26"/>
        </w:rPr>
        <w:t xml:space="preserve">(1) SQL vs NoSQL comparison; (2) database scalability, horizontal scaling, sharding; (3) ACID vs BASE, data consistency; (4) NoSQL performance benchmark; (5) database migration case study.</w:t>
      </w:r>
    </w:p>
    <w:p>
      <w:pPr>
        <w:spacing w:after="120" w:line="300"/>
        <w:jc w:val="both"/>
      </w:pPr>
      <w:r>
        <w:rPr>
          <w:rFonts w:ascii="Times New Roman" w:cs="Times New Roman" w:eastAsia="Times New Roman" w:hAnsi="Times New Roman"/>
          <w:sz w:val="26"/>
          <w:szCs w:val="26"/>
        </w:rPr>
        <w:t xml:space="preserve">Chiến lược: tìm bài báo học thuật trước trên Google Scholar để có nền khách quan, sau đó tìm tài liệu của nhà cung cấp CSDL và blog kỹ thuật trên Google để so sánh cách mỗi bên trình bày cùng một vấn đề. Dùng dấu ngoặc kép để tìm chính xác cụm từ, toán tử site: để giới hạn tên miền, filetype:pdf để tìm bản toàn văn, intitle: để tìm theo tiêu đề và dấu trừ để loại trang của nhà cung cấp khỏi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938"/>
      </w:tblGrid>
      <w:tr>
        <w:trPr>
          <w:tblHeader/>
        </w:trPr>
        <w:tc>
          <w:tcPr>
            <w:tcW w:type="dxa" w:w="2400"/>
            <w:tcBorders>
              <w:top w:val="single" w:color="000000" w:sz="4"/>
              <w:left w:val="single" w:color="000000" w:sz="4"/>
              <w:bottom w:val="single" w:color="000000" w:sz="4"/>
              <w:right w:val="single" w:color="000000" w:sz="4"/>
            </w:tcBorders>
            <w:shd w:fill="D9E2F3" w:color="auto" w:val="clear"/>
            <w:tcMar>
              <w:top w:type="dxa" w:w="50"/>
              <w:left w:type="dxa" w:w="70"/>
              <w:bottom w:type="dxa" w:w="50"/>
              <w:right w:type="dxa" w:w="70"/>
            </w:tcMar>
          </w:tcPr>
          <w:p>
            <w:r>
              <w:rPr>
                <w:rFonts w:ascii="Times New Roman" w:cs="Times New Roman" w:eastAsia="Times New Roman" w:hAnsi="Times New Roman"/>
                <w:b/>
                <w:bCs/>
                <w:sz w:val="20"/>
                <w:szCs w:val="20"/>
              </w:rPr>
              <w:t xml:space="preserve">Công cụ</w:t>
            </w:r>
          </w:p>
        </w:tc>
        <w:tc>
          <w:tcPr>
            <w:tcW w:type="dxa" w:w="4300"/>
            <w:tcBorders>
              <w:top w:val="single" w:color="000000" w:sz="4"/>
              <w:left w:val="single" w:color="000000" w:sz="4"/>
              <w:bottom w:val="single" w:color="000000" w:sz="4"/>
              <w:right w:val="single" w:color="000000" w:sz="4"/>
            </w:tcBorders>
            <w:shd w:fill="D9E2F3" w:color="auto" w:val="clear"/>
            <w:tcMar>
              <w:top w:type="dxa" w:w="50"/>
              <w:left w:type="dxa" w:w="70"/>
              <w:bottom w:type="dxa" w:w="50"/>
              <w:right w:type="dxa" w:w="70"/>
            </w:tcMar>
          </w:tcPr>
          <w:p>
            <w:r>
              <w:rPr>
                <w:rFonts w:ascii="Times New Roman" w:cs="Times New Roman" w:eastAsia="Times New Roman" w:hAnsi="Times New Roman"/>
                <w:b/>
                <w:bCs/>
                <w:sz w:val="20"/>
                <w:szCs w:val="20"/>
              </w:rPr>
              <w:t xml:space="preserve">Truy vấn (kèm toán tử)</w:t>
            </w:r>
          </w:p>
        </w:tc>
        <w:tc>
          <w:tcPr>
            <w:tcW w:type="dxa" w:w="2938"/>
            <w:tcBorders>
              <w:top w:val="single" w:color="000000" w:sz="4"/>
              <w:left w:val="single" w:color="000000" w:sz="4"/>
              <w:bottom w:val="single" w:color="000000" w:sz="4"/>
              <w:right w:val="single" w:color="000000" w:sz="4"/>
            </w:tcBorders>
            <w:shd w:fill="D9E2F3" w:color="auto" w:val="clear"/>
            <w:tcMar>
              <w:top w:type="dxa" w:w="50"/>
              <w:left w:type="dxa" w:w="70"/>
              <w:bottom w:type="dxa" w:w="50"/>
              <w:right w:type="dxa" w:w="70"/>
            </w:tcMar>
          </w:tcPr>
          <w:p>
            <w:r>
              <w:rPr>
                <w:rFonts w:ascii="Times New Roman" w:cs="Times New Roman" w:eastAsia="Times New Roman" w:hAnsi="Times New Roman"/>
                <w:b/>
                <w:bCs/>
                <w:sz w:val="20"/>
                <w:szCs w:val="20"/>
              </w:rPr>
              <w:t xml:space="preserve">Kết quả dùng được</w:t>
            </w:r>
          </w:p>
        </w:tc>
      </w:tr>
      <w:tr>
        <w:tc>
          <w:tcPr>
            <w:tcW w:type="dxa" w:w="2400"/>
            <w:tcBorders>
              <w:top w:val="single" w:color="000000" w:sz="4"/>
              <w:left w:val="single" w:color="000000" w:sz="4"/>
              <w:bottom w:val="single" w:color="000000" w:sz="4"/>
              <w:right w:val="single" w:color="000000" w:sz="4"/>
            </w:tcBorders>
            <w:tcMar>
              <w:top w:type="dxa" w:w="50"/>
              <w:left w:type="dxa" w:w="70"/>
              <w:bottom w:type="dxa" w:w="50"/>
              <w:right w:type="dxa" w:w="70"/>
            </w:tcMar>
          </w:tcPr>
          <w:p>
            <w:r>
              <w:rPr>
                <w:rFonts w:ascii="Times New Roman" w:cs="Times New Roman" w:eastAsia="Times New Roman" w:hAnsi="Times New Roman"/>
                <w:b w:val="false"/>
                <w:bCs w:val="false"/>
                <w:sz w:val="20"/>
                <w:szCs w:val="20"/>
              </w:rPr>
              <w:t xml:space="preserve">Google Scholar (lọc từ 2020)</w:t>
            </w:r>
          </w:p>
        </w:tc>
        <w:tc>
          <w:tcPr>
            <w:tcW w:type="dxa" w:w="4300"/>
            <w:tcBorders>
              <w:top w:val="single" w:color="000000" w:sz="4"/>
              <w:left w:val="single" w:color="000000" w:sz="4"/>
              <w:bottom w:val="single" w:color="000000" w:sz="4"/>
              <w:right w:val="single" w:color="000000" w:sz="4"/>
            </w:tcBorders>
            <w:tcMar>
              <w:top w:type="dxa" w:w="50"/>
              <w:left w:type="dxa" w:w="70"/>
              <w:bottom w:type="dxa" w:w="50"/>
              <w:right w:type="dxa" w:w="70"/>
            </w:tcMar>
          </w:tcPr>
          <w:p>
            <w:r>
              <w:rPr>
                <w:rFonts w:ascii="Consolas" w:cs="Consolas" w:eastAsia="Consolas" w:hAnsi="Consolas"/>
                <w:b w:val="false"/>
                <w:bCs w:val="false"/>
                <w:sz w:val="20"/>
                <w:szCs w:val="20"/>
              </w:rPr>
              <w:t xml:space="preserve">"SQL" "NoSQL" "systematic literature review" performance</w:t>
            </w:r>
          </w:p>
        </w:tc>
        <w:tc>
          <w:tcPr>
            <w:tcW w:type="dxa" w:w="2938"/>
            <w:tcBorders>
              <w:top w:val="single" w:color="000000" w:sz="4"/>
              <w:left w:val="single" w:color="000000" w:sz="4"/>
              <w:bottom w:val="single" w:color="000000" w:sz="4"/>
              <w:right w:val="single" w:color="000000" w:sz="4"/>
            </w:tcBorders>
            <w:tcMar>
              <w:top w:type="dxa" w:w="50"/>
              <w:left w:type="dxa" w:w="70"/>
              <w:bottom w:type="dxa" w:w="50"/>
              <w:right w:type="dxa" w:w="70"/>
            </w:tcMar>
          </w:tcPr>
          <w:p>
            <w:r>
              <w:rPr>
                <w:rFonts w:ascii="Times New Roman" w:cs="Times New Roman" w:eastAsia="Times New Roman" w:hAnsi="Times New Roman"/>
                <w:b w:val="false"/>
                <w:bCs w:val="false"/>
                <w:sz w:val="20"/>
                <w:szCs w:val="20"/>
              </w:rPr>
              <w:t xml:space="preserve">Nguồn [1]</w:t>
            </w:r>
          </w:p>
        </w:tc>
      </w:tr>
      <w:tr>
        <w:tc>
          <w:tcPr>
            <w:tcW w:type="dxa" w:w="2400"/>
            <w:tcBorders>
              <w:top w:val="single" w:color="000000" w:sz="4"/>
              <w:left w:val="single" w:color="000000" w:sz="4"/>
              <w:bottom w:val="single" w:color="000000" w:sz="4"/>
              <w:right w:val="single" w:color="000000" w:sz="4"/>
            </w:tcBorders>
            <w:tcMar>
              <w:top w:type="dxa" w:w="50"/>
              <w:left w:type="dxa" w:w="70"/>
              <w:bottom w:type="dxa" w:w="50"/>
              <w:right w:type="dxa" w:w="70"/>
            </w:tcMar>
          </w:tcPr>
          <w:p>
            <w:r>
              <w:rPr>
                <w:rFonts w:ascii="Times New Roman" w:cs="Times New Roman" w:eastAsia="Times New Roman" w:hAnsi="Times New Roman"/>
                <w:b w:val="false"/>
                <w:bCs w:val="false"/>
                <w:sz w:val="20"/>
                <w:szCs w:val="20"/>
              </w:rPr>
              <w:t xml:space="preserve">Google Scholar</w:t>
            </w:r>
          </w:p>
        </w:tc>
        <w:tc>
          <w:tcPr>
            <w:tcW w:type="dxa" w:w="4300"/>
            <w:tcBorders>
              <w:top w:val="single" w:color="000000" w:sz="4"/>
              <w:left w:val="single" w:color="000000" w:sz="4"/>
              <w:bottom w:val="single" w:color="000000" w:sz="4"/>
              <w:right w:val="single" w:color="000000" w:sz="4"/>
            </w:tcBorders>
            <w:tcMar>
              <w:top w:type="dxa" w:w="50"/>
              <w:left w:type="dxa" w:w="70"/>
              <w:bottom w:type="dxa" w:w="50"/>
              <w:right w:type="dxa" w:w="70"/>
            </w:tcMar>
          </w:tcPr>
          <w:p>
            <w:r>
              <w:rPr>
                <w:rFonts w:ascii="Consolas" w:cs="Consolas" w:eastAsia="Consolas" w:hAnsi="Consolas"/>
                <w:b w:val="false"/>
                <w:bCs w:val="false"/>
                <w:sz w:val="20"/>
                <w:szCs w:val="20"/>
              </w:rPr>
              <w:t xml:space="preserve">intitle:"performance comparison" SQL NoSQL databases</w:t>
            </w:r>
          </w:p>
        </w:tc>
        <w:tc>
          <w:tcPr>
            <w:tcW w:type="dxa" w:w="2938"/>
            <w:tcBorders>
              <w:top w:val="single" w:color="000000" w:sz="4"/>
              <w:left w:val="single" w:color="000000" w:sz="4"/>
              <w:bottom w:val="single" w:color="000000" w:sz="4"/>
              <w:right w:val="single" w:color="000000" w:sz="4"/>
            </w:tcBorders>
            <w:tcMar>
              <w:top w:type="dxa" w:w="50"/>
              <w:left w:type="dxa" w:w="70"/>
              <w:bottom w:type="dxa" w:w="50"/>
              <w:right w:type="dxa" w:w="70"/>
            </w:tcMar>
          </w:tcPr>
          <w:p>
            <w:r>
              <w:rPr>
                <w:rFonts w:ascii="Times New Roman" w:cs="Times New Roman" w:eastAsia="Times New Roman" w:hAnsi="Times New Roman"/>
                <w:b w:val="false"/>
                <w:bCs w:val="false"/>
                <w:sz w:val="20"/>
                <w:szCs w:val="20"/>
              </w:rPr>
              <w:t xml:space="preserve">Nguồn [2]</w:t>
            </w:r>
          </w:p>
        </w:tc>
      </w:tr>
      <w:tr>
        <w:tc>
          <w:tcPr>
            <w:tcW w:type="dxa" w:w="2400"/>
            <w:tcBorders>
              <w:top w:val="single" w:color="000000" w:sz="4"/>
              <w:left w:val="single" w:color="000000" w:sz="4"/>
              <w:bottom w:val="single" w:color="000000" w:sz="4"/>
              <w:right w:val="single" w:color="000000" w:sz="4"/>
            </w:tcBorders>
            <w:tcMar>
              <w:top w:type="dxa" w:w="50"/>
              <w:left w:type="dxa" w:w="70"/>
              <w:bottom w:type="dxa" w:w="50"/>
              <w:right w:type="dxa" w:w="70"/>
            </w:tcMar>
          </w:tcPr>
          <w:p>
            <w:r>
              <w:rPr>
                <w:rFonts w:ascii="Times New Roman" w:cs="Times New Roman" w:eastAsia="Times New Roman" w:hAnsi="Times New Roman"/>
                <w:b w:val="false"/>
                <w:bCs w:val="false"/>
                <w:sz w:val="20"/>
                <w:szCs w:val="20"/>
              </w:rPr>
              <w:t xml:space="preserve">Google</w:t>
            </w:r>
          </w:p>
        </w:tc>
        <w:tc>
          <w:tcPr>
            <w:tcW w:type="dxa" w:w="4300"/>
            <w:tcBorders>
              <w:top w:val="single" w:color="000000" w:sz="4"/>
              <w:left w:val="single" w:color="000000" w:sz="4"/>
              <w:bottom w:val="single" w:color="000000" w:sz="4"/>
              <w:right w:val="single" w:color="000000" w:sz="4"/>
            </w:tcBorders>
            <w:tcMar>
              <w:top w:type="dxa" w:w="50"/>
              <w:left w:type="dxa" w:w="70"/>
              <w:bottom w:type="dxa" w:w="50"/>
              <w:right w:type="dxa" w:w="70"/>
            </w:tcMar>
          </w:tcPr>
          <w:p>
            <w:r>
              <w:rPr>
                <w:rFonts w:ascii="Consolas" w:cs="Consolas" w:eastAsia="Consolas" w:hAnsi="Consolas"/>
                <w:b w:val="false"/>
                <w:bCs w:val="false"/>
                <w:sz w:val="20"/>
                <w:szCs w:val="20"/>
              </w:rPr>
              <w:t xml:space="preserve">"scalable SQL and NoSQL data stores" filetype:pdf</w:t>
            </w:r>
          </w:p>
        </w:tc>
        <w:tc>
          <w:tcPr>
            <w:tcW w:type="dxa" w:w="2938"/>
            <w:tcBorders>
              <w:top w:val="single" w:color="000000" w:sz="4"/>
              <w:left w:val="single" w:color="000000" w:sz="4"/>
              <w:bottom w:val="single" w:color="000000" w:sz="4"/>
              <w:right w:val="single" w:color="000000" w:sz="4"/>
            </w:tcBorders>
            <w:tcMar>
              <w:top w:type="dxa" w:w="50"/>
              <w:left w:type="dxa" w:w="70"/>
              <w:bottom w:type="dxa" w:w="50"/>
              <w:right w:type="dxa" w:w="70"/>
            </w:tcMar>
          </w:tcPr>
          <w:p>
            <w:r>
              <w:rPr>
                <w:rFonts w:ascii="Times New Roman" w:cs="Times New Roman" w:eastAsia="Times New Roman" w:hAnsi="Times New Roman"/>
                <w:b w:val="false"/>
                <w:bCs w:val="false"/>
                <w:sz w:val="20"/>
                <w:szCs w:val="20"/>
              </w:rPr>
              <w:t xml:space="preserve">Nguồn [6]</w:t>
            </w:r>
          </w:p>
        </w:tc>
      </w:tr>
      <w:tr>
        <w:tc>
          <w:tcPr>
            <w:tcW w:type="dxa" w:w="2400"/>
            <w:tcBorders>
              <w:top w:val="single" w:color="000000" w:sz="4"/>
              <w:left w:val="single" w:color="000000" w:sz="4"/>
              <w:bottom w:val="single" w:color="000000" w:sz="4"/>
              <w:right w:val="single" w:color="000000" w:sz="4"/>
            </w:tcBorders>
            <w:tcMar>
              <w:top w:type="dxa" w:w="50"/>
              <w:left w:type="dxa" w:w="70"/>
              <w:bottom w:type="dxa" w:w="50"/>
              <w:right w:type="dxa" w:w="70"/>
            </w:tcMar>
          </w:tcPr>
          <w:p>
            <w:r>
              <w:rPr>
                <w:rFonts w:ascii="Times New Roman" w:cs="Times New Roman" w:eastAsia="Times New Roman" w:hAnsi="Times New Roman"/>
                <w:b w:val="false"/>
                <w:bCs w:val="false"/>
                <w:sz w:val="20"/>
                <w:szCs w:val="20"/>
              </w:rPr>
              <w:t xml:space="preserve">Google</w:t>
            </w:r>
          </w:p>
        </w:tc>
        <w:tc>
          <w:tcPr>
            <w:tcW w:type="dxa" w:w="4300"/>
            <w:tcBorders>
              <w:top w:val="single" w:color="000000" w:sz="4"/>
              <w:left w:val="single" w:color="000000" w:sz="4"/>
              <w:bottom w:val="single" w:color="000000" w:sz="4"/>
              <w:right w:val="single" w:color="000000" w:sz="4"/>
            </w:tcBorders>
            <w:tcMar>
              <w:top w:type="dxa" w:w="50"/>
              <w:left w:type="dxa" w:w="70"/>
              <w:bottom w:type="dxa" w:w="50"/>
              <w:right w:type="dxa" w:w="70"/>
            </w:tcMar>
          </w:tcPr>
          <w:p>
            <w:r>
              <w:rPr>
                <w:rFonts w:ascii="Consolas" w:cs="Consolas" w:eastAsia="Consolas" w:hAnsi="Consolas"/>
                <w:b w:val="false"/>
                <w:bCs w:val="false"/>
                <w:sz w:val="20"/>
                <w:szCs w:val="20"/>
              </w:rPr>
              <w:t xml:space="preserve">site:mongodb.com "NoSQL vs SQL"</w:t>
            </w:r>
          </w:p>
        </w:tc>
        <w:tc>
          <w:tcPr>
            <w:tcW w:type="dxa" w:w="2938"/>
            <w:tcBorders>
              <w:top w:val="single" w:color="000000" w:sz="4"/>
              <w:left w:val="single" w:color="000000" w:sz="4"/>
              <w:bottom w:val="single" w:color="000000" w:sz="4"/>
              <w:right w:val="single" w:color="000000" w:sz="4"/>
            </w:tcBorders>
            <w:tcMar>
              <w:top w:type="dxa" w:w="50"/>
              <w:left w:type="dxa" w:w="70"/>
              <w:bottom w:type="dxa" w:w="50"/>
              <w:right w:type="dxa" w:w="70"/>
            </w:tcMar>
          </w:tcPr>
          <w:p>
            <w:r>
              <w:rPr>
                <w:rFonts w:ascii="Times New Roman" w:cs="Times New Roman" w:eastAsia="Times New Roman" w:hAnsi="Times New Roman"/>
                <w:b w:val="false"/>
                <w:bCs w:val="false"/>
                <w:sz w:val="20"/>
                <w:szCs w:val="20"/>
              </w:rPr>
              <w:t xml:space="preserve">Nguồn [3]</w:t>
            </w:r>
          </w:p>
        </w:tc>
      </w:tr>
      <w:tr>
        <w:tc>
          <w:tcPr>
            <w:tcW w:type="dxa" w:w="2400"/>
            <w:tcBorders>
              <w:top w:val="single" w:color="000000" w:sz="4"/>
              <w:left w:val="single" w:color="000000" w:sz="4"/>
              <w:bottom w:val="single" w:color="000000" w:sz="4"/>
              <w:right w:val="single" w:color="000000" w:sz="4"/>
            </w:tcBorders>
            <w:tcMar>
              <w:top w:type="dxa" w:w="50"/>
              <w:left w:type="dxa" w:w="70"/>
              <w:bottom w:type="dxa" w:w="50"/>
              <w:right w:type="dxa" w:w="70"/>
            </w:tcMar>
          </w:tcPr>
          <w:p>
            <w:r>
              <w:rPr>
                <w:rFonts w:ascii="Times New Roman" w:cs="Times New Roman" w:eastAsia="Times New Roman" w:hAnsi="Times New Roman"/>
                <w:b w:val="false"/>
                <w:bCs w:val="false"/>
                <w:sz w:val="20"/>
                <w:szCs w:val="20"/>
              </w:rPr>
              <w:t xml:space="preserve">Google</w:t>
            </w:r>
          </w:p>
        </w:tc>
        <w:tc>
          <w:tcPr>
            <w:tcW w:type="dxa" w:w="4300"/>
            <w:tcBorders>
              <w:top w:val="single" w:color="000000" w:sz="4"/>
              <w:left w:val="single" w:color="000000" w:sz="4"/>
              <w:bottom w:val="single" w:color="000000" w:sz="4"/>
              <w:right w:val="single" w:color="000000" w:sz="4"/>
            </w:tcBorders>
            <w:tcMar>
              <w:top w:type="dxa" w:w="50"/>
              <w:left w:type="dxa" w:w="70"/>
              <w:bottom w:type="dxa" w:w="50"/>
              <w:right w:type="dxa" w:w="70"/>
            </w:tcMar>
          </w:tcPr>
          <w:p>
            <w:r>
              <w:rPr>
                <w:rFonts w:ascii="Consolas" w:cs="Consolas" w:eastAsia="Consolas" w:hAnsi="Consolas"/>
                <w:b w:val="false"/>
                <w:bCs w:val="false"/>
                <w:sz w:val="20"/>
                <w:szCs w:val="20"/>
              </w:rPr>
              <w:t xml:space="preserve">Discord Cassandra ScyllaDB "trillions of messages" site:discord.com</w:t>
            </w:r>
          </w:p>
        </w:tc>
        <w:tc>
          <w:tcPr>
            <w:tcW w:type="dxa" w:w="2938"/>
            <w:tcBorders>
              <w:top w:val="single" w:color="000000" w:sz="4"/>
              <w:left w:val="single" w:color="000000" w:sz="4"/>
              <w:bottom w:val="single" w:color="000000" w:sz="4"/>
              <w:right w:val="single" w:color="000000" w:sz="4"/>
            </w:tcBorders>
            <w:tcMar>
              <w:top w:type="dxa" w:w="50"/>
              <w:left w:type="dxa" w:w="70"/>
              <w:bottom w:type="dxa" w:w="50"/>
              <w:right w:type="dxa" w:w="70"/>
            </w:tcMar>
          </w:tcPr>
          <w:p>
            <w:r>
              <w:rPr>
                <w:rFonts w:ascii="Times New Roman" w:cs="Times New Roman" w:eastAsia="Times New Roman" w:hAnsi="Times New Roman"/>
                <w:b w:val="false"/>
                <w:bCs w:val="false"/>
                <w:sz w:val="20"/>
                <w:szCs w:val="20"/>
              </w:rPr>
              <w:t xml:space="preserve">Nguồn [4]</w:t>
            </w:r>
          </w:p>
        </w:tc>
      </w:tr>
      <w:tr>
        <w:tc>
          <w:tcPr>
            <w:tcW w:type="dxa" w:w="2400"/>
            <w:tcBorders>
              <w:top w:val="single" w:color="000000" w:sz="4"/>
              <w:left w:val="single" w:color="000000" w:sz="4"/>
              <w:bottom w:val="single" w:color="000000" w:sz="4"/>
              <w:right w:val="single" w:color="000000" w:sz="4"/>
            </w:tcBorders>
            <w:tcMar>
              <w:top w:type="dxa" w:w="50"/>
              <w:left w:type="dxa" w:w="70"/>
              <w:bottom w:type="dxa" w:w="50"/>
              <w:right w:type="dxa" w:w="70"/>
            </w:tcMar>
          </w:tcPr>
          <w:p>
            <w:r>
              <w:rPr>
                <w:rFonts w:ascii="Times New Roman" w:cs="Times New Roman" w:eastAsia="Times New Roman" w:hAnsi="Times New Roman"/>
                <w:b w:val="false"/>
                <w:bCs w:val="false"/>
                <w:sz w:val="20"/>
                <w:szCs w:val="20"/>
              </w:rPr>
              <w:t xml:space="preserve">Google</w:t>
            </w:r>
          </w:p>
        </w:tc>
        <w:tc>
          <w:tcPr>
            <w:tcW w:type="dxa" w:w="4300"/>
            <w:tcBorders>
              <w:top w:val="single" w:color="000000" w:sz="4"/>
              <w:left w:val="single" w:color="000000" w:sz="4"/>
              <w:bottom w:val="single" w:color="000000" w:sz="4"/>
              <w:right w:val="single" w:color="000000" w:sz="4"/>
            </w:tcBorders>
            <w:tcMar>
              <w:top w:type="dxa" w:w="50"/>
              <w:left w:type="dxa" w:w="70"/>
              <w:bottom w:type="dxa" w:w="50"/>
              <w:right w:type="dxa" w:w="70"/>
            </w:tcMar>
          </w:tcPr>
          <w:p>
            <w:r>
              <w:rPr>
                <w:rFonts w:ascii="Consolas" w:cs="Consolas" w:eastAsia="Consolas" w:hAnsi="Consolas"/>
                <w:b w:val="false"/>
                <w:bCs w:val="false"/>
                <w:sz w:val="20"/>
                <w:szCs w:val="20"/>
              </w:rPr>
              <w:t xml:space="preserve">SQL vs MongoDB difference -site:mongodb.com</w:t>
            </w:r>
          </w:p>
        </w:tc>
        <w:tc>
          <w:tcPr>
            <w:tcW w:type="dxa" w:w="2938"/>
            <w:tcBorders>
              <w:top w:val="single" w:color="000000" w:sz="4"/>
              <w:left w:val="single" w:color="000000" w:sz="4"/>
              <w:bottom w:val="single" w:color="000000" w:sz="4"/>
              <w:right w:val="single" w:color="000000" w:sz="4"/>
            </w:tcBorders>
            <w:tcMar>
              <w:top w:type="dxa" w:w="50"/>
              <w:left w:type="dxa" w:w="70"/>
              <w:bottom w:type="dxa" w:w="50"/>
              <w:right w:type="dxa" w:w="70"/>
            </w:tcMar>
          </w:tcPr>
          <w:p>
            <w:r>
              <w:rPr>
                <w:rFonts w:ascii="Times New Roman" w:cs="Times New Roman" w:eastAsia="Times New Roman" w:hAnsi="Times New Roman"/>
                <w:b w:val="false"/>
                <w:bCs w:val="false"/>
                <w:sz w:val="20"/>
                <w:szCs w:val="20"/>
              </w:rPr>
              <w:t xml:space="preserve">Nguồn [5] (blog phổ thông)</w:t>
            </w:r>
          </w:p>
        </w:tc>
      </w:tr>
    </w:tbl>
    <w:p>
      <w:pPr>
        <w:spacing w:after="120" w:line="300"/>
        <w:jc w:val="both"/>
      </w:pPr>
      <w:r>
        <w:rPr>
          <w:rFonts w:ascii="Times New Roman" w:cs="Times New Roman" w:eastAsia="Times New Roman" w:hAnsi="Times New Roman"/>
          <w:sz w:val="26"/>
          <w:szCs w:val="26"/>
        </w:rPr>
        <w:t xml:space="preserve">Tổng cộng thu được 6 nguồn: 3 bài báo học thuật, 1 trang so sánh của nhà cung cấp CSDL, 1 nghiên cứu trường hợp và 1 blog phổ thông. Ngày truy cập các nguồn trực tuyến: 02/10/2026.</w:t>
      </w:r>
    </w:p>
    <w:p>
      <w:pPr>
        <w:pStyle w:val="Heading1"/>
        <w:spacing w:after="120" w:before="240"/>
      </w:pPr>
      <w:r>
        <w:rPr>
          <w:rFonts w:ascii="Times New Roman" w:cs="Times New Roman" w:eastAsia="Times New Roman" w:hAnsi="Times New Roman"/>
          <w:b/>
          <w:bCs/>
          <w:color w:val="000000"/>
          <w:sz w:val="28"/>
          <w:szCs w:val="28"/>
        </w:rPr>
        <w:t xml:space="preserve">2. Bảng đánh giá CRAAP</w:t>
      </w:r>
    </w:p>
    <w:p>
      <w:pPr>
        <w:spacing w:after="120" w:line="300"/>
        <w:jc w:val="both"/>
      </w:pPr>
      <w:r>
        <w:rPr>
          <w:rFonts w:ascii="Times New Roman" w:cs="Times New Roman" w:eastAsia="Times New Roman" w:hAnsi="Times New Roman"/>
          <w:sz w:val="26"/>
          <w:szCs w:val="26"/>
        </w:rPr>
        <w:t xml:space="preserve">Thang điểm 1 đến 5 cho từng tiêu chí (5 là tốt nhất). </w:t>
      </w: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(Currency): tính thời sự; </w:t>
      </w:r>
      <w:r>
        <w:rPr>
          <w:rFonts w:ascii="Times New Roman" w:cs="Times New Roman" w:eastAsia="Times New Roman" w:hAnsi="Times New Roman"/>
          <w:b/>
          <w:bCs/>
          <w:sz w:val="26"/>
          <w:szCs w:val="26"/>
        </w:rPr>
        <w:t xml:space="preserve">R</w:t>
      </w:r>
      <w:r>
        <w:rPr>
          <w:rFonts w:ascii="Times New Roman" w:cs="Times New Roman" w:eastAsia="Times New Roman" w:hAnsi="Times New Roman"/>
          <w:sz w:val="26"/>
          <w:szCs w:val="26"/>
        </w:rPr>
        <w:t xml:space="preserve"> (Relevance): tính liên quan; </w:t>
      </w: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(Authority): tính uy quyền; </w:t>
      </w: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(Accuracy): tính chính xác; </w:t>
      </w:r>
      <w:r>
        <w:rPr>
          <w:rFonts w:ascii="Times New Roman" w:cs="Times New Roman" w:eastAsia="Times New Roman" w:hAnsi="Times New Roman"/>
          <w:b/>
          <w:bCs/>
          <w:sz w:val="26"/>
          <w:szCs w:val="26"/>
        </w:rPr>
        <w:t xml:space="preserve">P</w:t>
      </w:r>
      <w:r>
        <w:rPr>
          <w:rFonts w:ascii="Times New Roman" w:cs="Times New Roman" w:eastAsia="Times New Roman" w:hAnsi="Times New Roman"/>
          <w:sz w:val="26"/>
          <w:szCs w:val="26"/>
        </w:rPr>
        <w:t xml:space="preserve"> (Purpose): mục đích.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600"/>
        <w:gridCol w:w="600"/>
        <w:gridCol w:w="600"/>
        <w:gridCol w:w="600"/>
        <w:gridCol w:w="600"/>
        <w:gridCol w:w="640"/>
        <w:gridCol w:w="3078"/>
      </w:tblGrid>
      <w:tr>
        <w:trPr>
          <w:tblHeader/>
        </w:trPr>
        <w:tc>
          <w:tcPr>
            <w:tcW w:type="dxa" w:w="620"/>
            <w:tcBorders>
              <w:top w:val="single" w:color="000000" w:sz="4"/>
              <w:left w:val="single" w:color="000000" w:sz="4"/>
              <w:bottom w:val="single" w:color="000000" w:sz="4"/>
              <w:right w:val="single" w:color="000000" w:sz="4"/>
            </w:tcBorders>
            <w:shd w:fill="D9E2F3" w:color="auto"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20"/>
                <w:szCs w:val="20"/>
              </w:rPr>
              <w:t xml:space="preserve">STT</w:t>
            </w:r>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20"/>
                <w:szCs w:val="20"/>
              </w:rPr>
              <w:t xml:space="preserve">Nguồn tài liệu</w:t>
            </w:r>
          </w:p>
        </w:tc>
        <w:tc>
          <w:tcPr>
            <w:tcW w:type="dxa" w:w="600"/>
            <w:tcBorders>
              <w:top w:val="single" w:color="000000" w:sz="4"/>
              <w:left w:val="single" w:color="000000" w:sz="4"/>
              <w:bottom w:val="single" w:color="000000" w:sz="4"/>
              <w:right w:val="single" w:color="000000" w:sz="4"/>
            </w:tcBorders>
            <w:shd w:fill="D9E2F3" w:color="auto"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20"/>
                <w:szCs w:val="20"/>
              </w:rPr>
              <w:t xml:space="preserve">C</w:t>
            </w:r>
          </w:p>
        </w:tc>
        <w:tc>
          <w:tcPr>
            <w:tcW w:type="dxa" w:w="600"/>
            <w:tcBorders>
              <w:top w:val="single" w:color="000000" w:sz="4"/>
              <w:left w:val="single" w:color="000000" w:sz="4"/>
              <w:bottom w:val="single" w:color="000000" w:sz="4"/>
              <w:right w:val="single" w:color="000000" w:sz="4"/>
            </w:tcBorders>
            <w:shd w:fill="D9E2F3" w:color="auto"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20"/>
                <w:szCs w:val="20"/>
              </w:rPr>
              <w:t xml:space="preserve">R</w:t>
            </w:r>
          </w:p>
        </w:tc>
        <w:tc>
          <w:tcPr>
            <w:tcW w:type="dxa" w:w="600"/>
            <w:tcBorders>
              <w:top w:val="single" w:color="000000" w:sz="4"/>
              <w:left w:val="single" w:color="000000" w:sz="4"/>
              <w:bottom w:val="single" w:color="000000" w:sz="4"/>
              <w:right w:val="single" w:color="000000" w:sz="4"/>
            </w:tcBorders>
            <w:shd w:fill="D9E2F3" w:color="auto"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20"/>
                <w:szCs w:val="20"/>
              </w:rPr>
              <w:t xml:space="preserve">A</w:t>
            </w:r>
          </w:p>
        </w:tc>
        <w:tc>
          <w:tcPr>
            <w:tcW w:type="dxa" w:w="600"/>
            <w:tcBorders>
              <w:top w:val="single" w:color="000000" w:sz="4"/>
              <w:left w:val="single" w:color="000000" w:sz="4"/>
              <w:bottom w:val="single" w:color="000000" w:sz="4"/>
              <w:right w:val="single" w:color="000000" w:sz="4"/>
            </w:tcBorders>
            <w:shd w:fill="D9E2F3" w:color="auto"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20"/>
                <w:szCs w:val="20"/>
              </w:rPr>
              <w:t xml:space="preserve">A</w:t>
            </w:r>
          </w:p>
        </w:tc>
        <w:tc>
          <w:tcPr>
            <w:tcW w:type="dxa" w:w="600"/>
            <w:tcBorders>
              <w:top w:val="single" w:color="000000" w:sz="4"/>
              <w:left w:val="single" w:color="000000" w:sz="4"/>
              <w:bottom w:val="single" w:color="000000" w:sz="4"/>
              <w:right w:val="single" w:color="000000" w:sz="4"/>
            </w:tcBorders>
            <w:shd w:fill="D9E2F3" w:color="auto"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20"/>
                <w:szCs w:val="20"/>
              </w:rPr>
              <w:t xml:space="preserve">P</w:t>
            </w:r>
          </w:p>
        </w:tc>
        <w:tc>
          <w:tcPr>
            <w:tcW w:type="dxa" w:w="640"/>
            <w:tcBorders>
              <w:top w:val="single" w:color="000000" w:sz="4"/>
              <w:left w:val="single" w:color="000000" w:sz="4"/>
              <w:bottom w:val="single" w:color="000000" w:sz="4"/>
              <w:right w:val="single" w:color="000000" w:sz="4"/>
            </w:tcBorders>
            <w:shd w:fill="D9E2F3" w:color="auto"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20"/>
                <w:szCs w:val="20"/>
              </w:rPr>
              <w:t xml:space="preserve">Tổng /25</w:t>
            </w:r>
          </w:p>
        </w:tc>
        <w:tc>
          <w:tcPr>
            <w:tcW w:type="dxa" w:w="3078"/>
            <w:tcBorders>
              <w:top w:val="single" w:color="000000" w:sz="4"/>
              <w:left w:val="single" w:color="000000" w:sz="4"/>
              <w:bottom w:val="single" w:color="000000" w:sz="4"/>
              <w:right w:val="single" w:color="000000" w:sz="4"/>
            </w:tcBorders>
            <w:shd w:fill="D9E2F3" w:color="auto"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20"/>
                <w:szCs w:val="20"/>
              </w:rPr>
              <w:t xml:space="preserve">Nhận xét chung</w:t>
            </w:r>
          </w:p>
        </w:tc>
      </w:tr>
      <w:tr>
        <w:trPr>
          <w:tblHeader w:val="false"/>
        </w:trPr>
        <w:tc>
          <w:tcPr>
            <w:tcW w:type="dxa" w:w="62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23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20"/>
                <w:szCs w:val="20"/>
              </w:rPr>
              <w:t xml:space="preserve">[1] Khan và cs., bài tổng quan hệ thống trên tạp chí Big Data and Cognitive Computing (2023)</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64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bCs/>
                <w:sz w:val="20"/>
                <w:szCs w:val="20"/>
              </w:rPr>
              <w:t xml:space="preserve">22</w:t>
            </w:r>
          </w:p>
        </w:tc>
        <w:tc>
          <w:tcPr>
            <w:tcW w:type="dxa" w:w="307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20"/>
                <w:szCs w:val="20"/>
              </w:rPr>
              <w:t xml:space="preserve">Bài báo bình duyệt, tổng hợp nhiều nghiên cứu so sánh về khả năng mở rộng, hiệu năng, tính nhất quán. Điểm trừ: câu chữ trong tóm tắt bản tạp chí viết SQL "mở rộng ngang", trái với bản preprint (mở rộng dọc), nên phải đọc đối chiếu.</w:t>
            </w:r>
          </w:p>
        </w:tc>
      </w:tr>
      <w:tr>
        <w:trPr>
          <w:tblHeader w:val="false"/>
        </w:trPr>
        <w:tc>
          <w:tcPr>
            <w:tcW w:type="dxa" w:w="62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23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20"/>
                <w:szCs w:val="20"/>
              </w:rPr>
              <w:t xml:space="preserve">[2] Li và Manoharan, bài hội nghị IEEE PACRIM (2013)</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64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bCs/>
                <w:sz w:val="20"/>
                <w:szCs w:val="20"/>
              </w:rPr>
              <w:t xml:space="preserve">21</w:t>
            </w:r>
          </w:p>
        </w:tc>
        <w:tc>
          <w:tcPr>
            <w:tcW w:type="dxa" w:w="307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20"/>
                <w:szCs w:val="20"/>
              </w:rPr>
              <w:t xml:space="preserve">Thực nghiệm độc lập, có số đo thời gian đọc, ghi, xóa. Kết luận rõ: không phải NoSQL nào cũng nhanh hơn SQL. Hạn chế: phiên bản CSDL được đo đã cũ.</w:t>
            </w:r>
          </w:p>
        </w:tc>
      </w:tr>
      <w:tr>
        <w:trPr>
          <w:tblHeader w:val="false"/>
        </w:trPr>
        <w:tc>
          <w:tcPr>
            <w:tcW w:type="dxa" w:w="62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23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20"/>
                <w:szCs w:val="20"/>
              </w:rPr>
              <w:t xml:space="preserve">[3] MongoDB, trang "NoSQL vs SQL Databases" (nhà cung cấp)</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64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bCs/>
                <w:sz w:val="20"/>
                <w:szCs w:val="20"/>
              </w:rPr>
              <w:t xml:space="preserve">18</w:t>
            </w:r>
          </w:p>
        </w:tc>
        <w:tc>
          <w:tcPr>
            <w:tcW w:type="dxa" w:w="307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20"/>
                <w:szCs w:val="20"/>
              </w:rPr>
              <w:t xml:space="preserve">Giải thích khái niệm dễ hiểu, đúng ngữ cảnh IT. Không có số đo; khẳng định SQL chỉ lưu được dữ liệu có cấu trúc là nói quá; liên tục giới thiệu MongoDB Atlas. Mục đích chính là tiếp thị.</w:t>
            </w:r>
          </w:p>
        </w:tc>
      </w:tr>
      <w:tr>
        <w:trPr>
          <w:tblHeader w:val="false"/>
        </w:trPr>
        <w:tc>
          <w:tcPr>
            <w:tcW w:type="dxa" w:w="62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23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20"/>
                <w:szCs w:val="20"/>
              </w:rPr>
              <w:t xml:space="preserve">[4] B. Ingram, blog kỹ thuật Discord (2023), nghiên cứu trường hợp</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64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bCs/>
                <w:sz w:val="20"/>
                <w:szCs w:val="20"/>
              </w:rPr>
              <w:t xml:space="preserve">20</w:t>
            </w:r>
          </w:p>
        </w:tc>
        <w:tc>
          <w:tcPr>
            <w:tcW w:type="dxa" w:w="307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20"/>
                <w:szCs w:val="20"/>
              </w:rPr>
              <w:t xml:space="preserve">Kỹ sư trực tiếp vận hành hệ thống viết, có số liệu cụ thể (số nút, độ trễ). Chỉ là một trường hợp, số liệu tự công bố, không tái lập được.</w:t>
            </w:r>
          </w:p>
        </w:tc>
      </w:tr>
      <w:tr>
        <w:trPr>
          <w:tblHeader w:val="false"/>
        </w:trPr>
        <w:tc>
          <w:tcPr>
            <w:tcW w:type="dxa" w:w="62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23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20"/>
                <w:szCs w:val="20"/>
              </w:rPr>
              <w:t xml:space="preserve">[5] P. Nikam, Udemy Blog, "SQL vs. MongoDB" (2022)</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64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bCs/>
                <w:sz w:val="20"/>
                <w:szCs w:val="20"/>
              </w:rPr>
              <w:t xml:space="preserve">12</w:t>
            </w:r>
          </w:p>
        </w:tc>
        <w:tc>
          <w:tcPr>
            <w:tcW w:type="dxa" w:w="307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20"/>
                <w:szCs w:val="20"/>
              </w:rPr>
              <w:t xml:space="preserve">Tác giả là giảng viên khóa học web, không phải chuyên gia CSDL. Viết rằng MongoDB không hỗ trợ giao dịch ACID, join và chỉ mục: sai so với thực tế. Bài chèn nhiều liên kết bán khóa học.</w:t>
            </w:r>
          </w:p>
        </w:tc>
      </w:tr>
      <w:tr>
        <w:trPr>
          <w:tblHeader w:val="false"/>
        </w:trPr>
        <w:tc>
          <w:tcPr>
            <w:tcW w:type="dxa" w:w="62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23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20"/>
                <w:szCs w:val="20"/>
              </w:rPr>
              <w:t xml:space="preserve">[6] R. Cattell, ACM SIGMOD Record (2011)</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64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Times New Roman" w:cs="Times New Roman" w:eastAsia="Times New Roman" w:hAnsi="Times New Roman"/>
                <w:b/>
                <w:bCs/>
                <w:sz w:val="20"/>
                <w:szCs w:val="20"/>
              </w:rPr>
              <w:t xml:space="preserve">19</w:t>
            </w:r>
          </w:p>
        </w:tc>
        <w:tc>
          <w:tcPr>
            <w:tcW w:type="dxa" w:w="307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20"/>
                <w:szCs w:val="20"/>
              </w:rPr>
              <w:t xml:space="preserve">Tác giả và tạp chí rất uy tín, là bài nền tảng của lĩnh vực. Tuy nhiên mô tả các sản phẩm ở thời điểm 2010, nhiều tính năng nay đã thay đổi.</w:t>
            </w:r>
          </w:p>
        </w:tc>
      </w:tr>
    </w:tbl>
    <w:p>
      <w:pPr>
        <w:spacing w:after="60" w:line="300"/>
        <w:jc w:val="both"/>
      </w:pPr>
      <w:r>
        <w:rPr>
          <w:rFonts w:ascii="Times New Roman" w:cs="Times New Roman" w:eastAsia="Times New Roman" w:hAnsi="Times New Roman"/>
          <w:sz w:val="26"/>
          <w:szCs w:val="26"/>
        </w:rPr>
        <w:t xml:space="preserve"/>
      </w:r>
    </w:p>
    <w:p>
      <w:pPr>
        <w:pStyle w:val="Heading1"/>
        <w:spacing w:after="120" w:before="240"/>
      </w:pPr>
      <w:r>
        <w:rPr>
          <w:rFonts w:ascii="Times New Roman" w:cs="Times New Roman" w:eastAsia="Times New Roman" w:hAnsi="Times New Roman"/>
          <w:b/>
          <w:bCs/>
          <w:color w:val="000000"/>
          <w:sz w:val="28"/>
          <w:szCs w:val="28"/>
        </w:rPr>
        <w:t xml:space="preserve">3. Tổng hợp kết quả</w:t>
      </w:r>
    </w:p>
    <w:p>
      <w:pPr>
        <w:pStyle w:val="Heading2"/>
        <w:spacing w:after="100" w:before="160"/>
      </w:pPr>
      <w:r>
        <w:rPr>
          <w:rFonts w:ascii="Times New Roman" w:cs="Times New Roman" w:eastAsia="Times New Roman" w:hAnsi="Times New Roman"/>
          <w:b/>
          <w:bCs/>
          <w:i/>
          <w:iCs/>
          <w:color w:val="000000"/>
          <w:sz w:val="26"/>
          <w:szCs w:val="26"/>
        </w:rPr>
        <w:t xml:space="preserve">3.1. Nguồn được chọn và nguồn bị loại</w:t>
      </w:r>
    </w:p>
    <w:p>
      <w:pPr>
        <w:spacing w:after="120" w:line="300"/>
        <w:jc w:val="both"/>
      </w:pPr>
      <w:r>
        <w:rPr>
          <w:rFonts w:ascii="Times New Roman" w:cs="Times New Roman" w:eastAsia="Times New Roman" w:hAnsi="Times New Roman"/>
          <w:b/>
          <w:bCs/>
          <w:sz w:val="26"/>
          <w:szCs w:val="26"/>
        </w:rPr>
        <w:t xml:space="preserve">Ba nguồn đáng tin cậy được chọn: </w:t>
      </w:r>
      <w:r>
        <w:rPr>
          <w:rFonts w:ascii="Times New Roman" w:cs="Times New Roman" w:eastAsia="Times New Roman" w:hAnsi="Times New Roman"/>
          <w:sz w:val="26"/>
          <w:szCs w:val="26"/>
        </w:rPr>
        <w:t xml:space="preserve">[1], [2] và [4]. Nguồn [1] cho cái nhìn tổng quan mới và đã qua bình duyệt; nguồn [2] cung cấp số đo thực nghiệm độc lập; nguồn [4] cho thấy vấn đề diễn ra thế nào trong một hệ thống thật ở quy mô rất lớn. Ba nguồn này không bán sản phẩm CSDL nào nên ít động cơ thiên vị.</w:t>
      </w:r>
    </w:p>
    <w:p>
      <w:pPr>
        <w:spacing w:after="60" w:line="300"/>
        <w:jc w:val="both"/>
      </w:pPr>
      <w:r>
        <w:rPr>
          <w:rFonts w:ascii="Times New Roman" w:cs="Times New Roman" w:eastAsia="Times New Roman" w:hAnsi="Times New Roman"/>
          <w:b/>
          <w:bCs/>
          <w:sz w:val="26"/>
          <w:szCs w:val="26"/>
        </w:rPr>
        <w:t xml:space="preserve">Nguồn bị loại hoặc chỉ dùng hạn chế:</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Nguồn [5] bị loại vì sai về kỹ thuật. Bài viết khẳng định MongoDB không hỗ trợ giao dịch ACID, join và chỉ mục, trong khi chính trang của MongoDB [3] nêu rằng sản phẩm của họ vẫn đảm bảo ACID. Bài còn có mục đích bán khóa học, tác giả không có chuyên môn nghiên cứu CSDL.</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Nguồn [6] bị loại khỏi phần so sánh vì công nghệ lỗi thời: bài mô tả các hệ thống ở thời điểm 2010. Nguồn này chỉ nên dùng để hiểu bối cảnh ra đời của NoSQL.</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Nguồn [3] chỉ dùng để tra định nghĩa và thuật ngữ, không dùng làm bằng chứng so sánh vì là tài liệu của bên bán sản phẩm.</w:t>
      </w:r>
    </w:p>
    <w:p>
      <w:pPr>
        <w:spacing w:after="120" w:line="300"/>
        <w:jc w:val="both"/>
      </w:pPr>
      <w:r>
        <w:rPr>
          <w:rFonts w:ascii="Times New Roman" w:cs="Times New Roman" w:eastAsia="Times New Roman" w:hAnsi="Times New Roman"/>
          <w:sz w:val="26"/>
          <w:szCs w:val="26"/>
        </w:rPr>
        <w:t xml:space="preserve">Riêng nguồn [2] có điểm thời sự thấp nhưng vẫn được giữ, vì giá trị của nó nằm ở phương pháp và kết luận chung (hiệu năng phụ thuộc vào từng thao tác chứ không phụ thuộc vào nhãn SQL hay NoSQL), kết luận này vẫn phù hợp với tổng quan năm 2023 [1]. Các con số cụ thể trong [2] thì không nên áp dụng cho phiên bản hiện nay.</w:t>
      </w:r>
    </w:p>
    <w:p>
      <w:pPr>
        <w:pStyle w:val="Heading2"/>
        <w:spacing w:after="100" w:before="160"/>
      </w:pPr>
      <w:r>
        <w:rPr>
          <w:rFonts w:ascii="Times New Roman" w:cs="Times New Roman" w:eastAsia="Times New Roman" w:hAnsi="Times New Roman"/>
          <w:b/>
          <w:bCs/>
          <w:i/>
          <w:iCs/>
          <w:color w:val="000000"/>
          <w:sz w:val="26"/>
          <w:szCs w:val="26"/>
        </w:rPr>
        <w:t xml:space="preserve">3.2. Khác biệt chính giữa SQL và NoSQL</w:t>
      </w:r>
    </w:p>
    <w:p>
      <w:pPr>
        <w:pStyle w:val="ListParagraph"/>
        <w:numPr>
          <w:ilvl w:val="0"/>
          <w:numId w:val="2"/>
        </w:numPr>
        <w:spacing w:after="60" w:line="300"/>
        <w:jc w:val="both"/>
      </w:pPr>
      <w:r>
        <w:rPr>
          <w:rFonts w:ascii="Times New Roman" w:cs="Times New Roman" w:eastAsia="Times New Roman" w:hAnsi="Times New Roman"/>
          <w:b/>
          <w:bCs/>
          <w:sz w:val="26"/>
          <w:szCs w:val="26"/>
        </w:rPr>
        <w:t xml:space="preserve">Mô hình dữ liệu: </w:t>
      </w:r>
      <w:r>
        <w:rPr>
          <w:rFonts w:ascii="Times New Roman" w:cs="Times New Roman" w:eastAsia="Times New Roman" w:hAnsi="Times New Roman"/>
          <w:sz w:val="26"/>
          <w:szCs w:val="26"/>
        </w:rPr>
        <w:t xml:space="preserve">SQL lưu dữ liệu trong bảng với lược đồ cố định và quan hệ khóa chính, khóa ngoại. NoSQL gồm nhiều mô hình (tài liệu, khóa-giá trị, cột rộng, đồ thị) với lược đồ linh hoạt, phù hợp dữ liệu bán cấu trúc và phi cấu trúc [1], [3].</w:t>
      </w:r>
    </w:p>
    <w:p>
      <w:pPr>
        <w:pStyle w:val="ListParagraph"/>
        <w:numPr>
          <w:ilvl w:val="0"/>
          <w:numId w:val="2"/>
        </w:numPr>
        <w:spacing w:after="60" w:line="300"/>
        <w:jc w:val="both"/>
      </w:pPr>
      <w:r>
        <w:rPr>
          <w:rFonts w:ascii="Times New Roman" w:cs="Times New Roman" w:eastAsia="Times New Roman" w:hAnsi="Times New Roman"/>
          <w:b/>
          <w:bCs/>
          <w:sz w:val="26"/>
          <w:szCs w:val="26"/>
        </w:rPr>
        <w:t xml:space="preserve">Khả năng mở rộng: </w:t>
      </w:r>
      <w:r>
        <w:rPr>
          <w:rFonts w:ascii="Times New Roman" w:cs="Times New Roman" w:eastAsia="Times New Roman" w:hAnsi="Times New Roman"/>
          <w:sz w:val="26"/>
          <w:szCs w:val="26"/>
        </w:rPr>
        <w:t xml:space="preserve">SQL truyền thống mở rộng theo chiều dọc (nâng cấp máy chủ), còn NoSQL được thiết kế để mở rộng theo chiều ngang bằng cách thêm nút và phân mảnh dữ liệu [1]. Trường hợp Discord minh họa rõ: dữ liệu tin nhắn tăng từ hàng tỷ lên hàng nghìn tỷ bản ghi và được lưu trên cụm 177 nút Cassandra, sau đó chuyển sang 72 nút ScyllaDB [4].</w:t>
      </w:r>
    </w:p>
    <w:p>
      <w:pPr>
        <w:pStyle w:val="ListParagraph"/>
        <w:numPr>
          <w:ilvl w:val="0"/>
          <w:numId w:val="2"/>
        </w:numPr>
        <w:spacing w:after="60" w:line="300"/>
        <w:jc w:val="both"/>
      </w:pPr>
      <w:r>
        <w:rPr>
          <w:rFonts w:ascii="Times New Roman" w:cs="Times New Roman" w:eastAsia="Times New Roman" w:hAnsi="Times New Roman"/>
          <w:b/>
          <w:bCs/>
          <w:sz w:val="26"/>
          <w:szCs w:val="26"/>
        </w:rPr>
        <w:t xml:space="preserve">Tính nhất quán: </w:t>
      </w:r>
      <w:r>
        <w:rPr>
          <w:rFonts w:ascii="Times New Roman" w:cs="Times New Roman" w:eastAsia="Times New Roman" w:hAnsi="Times New Roman"/>
          <w:sz w:val="26"/>
          <w:szCs w:val="26"/>
        </w:rPr>
        <w:t xml:space="preserve">SQL ưu tiên giao dịch ACID nên phù hợp hệ thống xử lý giao dịch trực tuyến (OLTP) như ngân hàng, kế toán doanh nghiệp. NoSQL thường đánh đổi một phần tính nhất quán để lấy tính sẵn sàng và tốc độ, nên phù hợp phân tích dữ liệu lớn và ứng dụng web có lượng truy cập cao [1].</w:t>
      </w:r>
    </w:p>
    <w:p>
      <w:pPr>
        <w:pStyle w:val="ListParagraph"/>
        <w:numPr>
          <w:ilvl w:val="0"/>
          <w:numId w:val="2"/>
        </w:numPr>
        <w:spacing w:after="60" w:line="300"/>
        <w:jc w:val="both"/>
      </w:pPr>
      <w:r>
        <w:rPr>
          <w:rFonts w:ascii="Times New Roman" w:cs="Times New Roman" w:eastAsia="Times New Roman" w:hAnsi="Times New Roman"/>
          <w:b/>
          <w:bCs/>
          <w:sz w:val="26"/>
          <w:szCs w:val="26"/>
        </w:rPr>
        <w:t xml:space="preserve">Hiệu năng: </w:t>
      </w:r>
      <w:r>
        <w:rPr>
          <w:rFonts w:ascii="Times New Roman" w:cs="Times New Roman" w:eastAsia="Times New Roman" w:hAnsi="Times New Roman"/>
          <w:sz w:val="26"/>
          <w:szCs w:val="26"/>
        </w:rPr>
        <w:t xml:space="preserve">Không có bên nào thắng tuyệt đối. Thực nghiệm trong [2] cho thấy không phải CSDL NoSQL nào cũng nhanh hơn SQL, một số còn chậm hơn nhiều, và mỗi hệ mạnh ở thao tác khác nhau. Ở Discord, vấn đề hiệu năng cũng không được giải quyết bằng cách đổi từ NoSQL sang SQL mà bằng cách đổi sang một CSDL NoSQL khác và thêm lớp dịch vụ dữ liệu phía trước [4].</w:t>
      </w:r>
    </w:p>
    <w:p>
      <w:pPr>
        <w:spacing w:after="120" w:line="300"/>
        <w:jc w:val="both"/>
      </w:pPr>
      <w:r>
        <w:rPr>
          <w:rFonts w:ascii="Times New Roman" w:cs="Times New Roman" w:eastAsia="Times New Roman" w:hAnsi="Times New Roman"/>
          <w:b/>
          <w:bCs/>
          <w:sz w:val="26"/>
          <w:szCs w:val="26"/>
        </w:rPr>
        <w:t xml:space="preserve">Kết luận: </w:t>
      </w:r>
      <w:r>
        <w:rPr>
          <w:rFonts w:ascii="Times New Roman" w:cs="Times New Roman" w:eastAsia="Times New Roman" w:hAnsi="Times New Roman"/>
          <w:sz w:val="26"/>
          <w:szCs w:val="26"/>
        </w:rPr>
        <w:t xml:space="preserve">lựa chọn SQL hay NoSQL là quyết định kiến trúc dựa trên đặc điểm dữ liệu và tải của ứng dụng. Dữ liệu có cấu trúc, cần giao dịch chặt chẽ thì chọn SQL; dữ liệu rất lớn, thay đổi cấu trúc thường xuyên, cần mở rộng ngang thì cân nhắc NoSQL. Nhiều hệ thống thực tế dùng kết hợp cả hai.</w:t>
      </w:r>
    </w:p>
    <w:p>
      <w:pPr>
        <w:pStyle w:val="Heading2"/>
        <w:spacing w:after="100" w:before="160"/>
      </w:pPr>
      <w:r>
        <w:rPr>
          <w:rFonts w:ascii="Times New Roman" w:cs="Times New Roman" w:eastAsia="Times New Roman" w:hAnsi="Times New Roman"/>
          <w:b/>
          <w:bCs/>
          <w:i/>
          <w:iCs/>
          <w:color w:val="000000"/>
          <w:sz w:val="26"/>
          <w:szCs w:val="26"/>
        </w:rPr>
        <w:t xml:space="preserve">3.3. Suy ngẫm về thiên kiến của nhà cung cấp CSDL</w:t>
      </w:r>
    </w:p>
    <w:p>
      <w:pPr>
        <w:spacing w:after="120" w:line="300"/>
        <w:jc w:val="both"/>
      </w:pPr>
      <w:r>
        <w:rPr>
          <w:rFonts w:ascii="Times New Roman" w:cs="Times New Roman" w:eastAsia="Times New Roman" w:hAnsi="Times New Roman"/>
          <w:sz w:val="26"/>
          <w:szCs w:val="26"/>
        </w:rPr>
        <w:t xml:space="preserve">Khi đặt các nguồn cạnh nhau, có thể thấy cùng một chủ đề nhưng cách trình bày khác hẳn tùy theo người viết muốn gì. Trang của MongoDB [3] mô tả SQL bằng những giới hạn (chỉ lưu dữ liệu có cấu trúc, chỉ mở rộng dọc) và mô tả NoSQL bằng những lợi ích, rồi kết bằng lời mời dùng sản phẩm của họ. Trang này không sai hoàn toàn, nhưng chọn lọc thông tin: không nhắc việc nhiều CSDL quan hệ hiện nay cũng lưu được JSON, và không đưa số đo nào để người đọc tự kiểm tra. Trong khi đó, nghiên cứu độc lập [2] lại cho kết quả ít "đẹp" hơn nhiều so với quảng cáo.</w:t>
      </w:r>
    </w:p>
    <w:p>
      <w:pPr>
        <w:spacing w:after="120" w:line="300"/>
        <w:jc w:val="both"/>
      </w:pPr>
      <w:r>
        <w:rPr>
          <w:rFonts w:ascii="Times New Roman" w:cs="Times New Roman" w:eastAsia="Times New Roman" w:hAnsi="Times New Roman"/>
          <w:sz w:val="26"/>
          <w:szCs w:val="26"/>
        </w:rPr>
        <w:t xml:space="preserve">Thiên kiến không chỉ đến từ hãng CSDL. Blog [5] thiên về phía bán khóa học nên viết đơn giản hóa đến mức sai. Blog kỹ thuật của Discord [4] đáng tin hơn vì tác giả mô tả cả những khó khăn họ gặp, nhưng vẫn là số liệu tự công bố và cũng phục vụ hình ảnh công ty. Bài học rút ra là: tài liệu của nhà cung cấp hữu ích để hiểu sản phẩm của chính họ, nhưng mọi nhận định so sánh với đối thủ cần được kiểm chứng bằng nguồn độc lập có số đo, và luôn phải tự hỏi "ai viết, viết để làm gì" trước khi tin một kết luận.</w:t>
      </w:r>
    </w:p>
    <w:p>
      <w:pPr>
        <w:pStyle w:val="Heading1"/>
        <w:spacing w:after="120" w:before="240"/>
      </w:pPr>
      <w:r>
        <w:rPr>
          <w:rFonts w:ascii="Times New Roman" w:cs="Times New Roman" w:eastAsia="Times New Roman" w:hAnsi="Times New Roman"/>
          <w:b/>
          <w:bCs/>
          <w:color w:val="000000"/>
          <w:sz w:val="28"/>
          <w:szCs w:val="28"/>
        </w:rPr>
        <w:t xml:space="preserve">Tài liệu tham khảo</w:t>
      </w:r>
    </w:p>
    <w:p>
      <w:pPr>
        <w:spacing w:after="80" w:line="300"/>
        <w:ind w:left="480" w:hanging="480"/>
        <w:jc w:val="left"/>
      </w:pPr>
      <w:r>
        <w:rPr>
          <w:rFonts w:ascii="Times New Roman" w:cs="Times New Roman" w:eastAsia="Times New Roman" w:hAnsi="Times New Roman"/>
          <w:sz w:val="24"/>
          <w:szCs w:val="24"/>
        </w:rPr>
        <w:t xml:space="preserve">[1]	W. Khan, T. Kumar, C. Zhang, K. Raj, A. M. Roy, and B. Luo, "SQL and NoSQL database software architecture performance analysis and assessments—A systematic literature review," Big Data Cogn. Comput., vol. 7, no. 2, Art. no. 97, May 2023, doi: 10.3390/bdcc7020097.</w:t>
      </w:r>
    </w:p>
    <w:p>
      <w:pPr>
        <w:spacing w:after="80" w:line="300"/>
        <w:ind w:left="480" w:hanging="480"/>
        <w:jc w:val="left"/>
      </w:pPr>
      <w:r>
        <w:rPr>
          <w:rFonts w:ascii="Times New Roman" w:cs="Times New Roman" w:eastAsia="Times New Roman" w:hAnsi="Times New Roman"/>
          <w:sz w:val="24"/>
          <w:szCs w:val="24"/>
        </w:rPr>
        <w:t xml:space="preserve">[2]	Y. Li and S. Manoharan, "A performance comparison of SQL and NoSQL databases," in Proc. IEEE Pacific Rim Conf. Commun., Comput. Signal Process. (PACRIM), Victoria, BC, Canada, Aug. 2013, pp. 15–19, doi: 10.1109/PACRIM.2013.6625441.</w:t>
      </w:r>
    </w:p>
    <w:p>
      <w:pPr>
        <w:spacing w:after="80" w:line="300"/>
        <w:ind w:left="480" w:hanging="480"/>
        <w:jc w:val="left"/>
      </w:pPr>
      <w:r>
        <w:rPr>
          <w:rFonts w:ascii="Times New Roman" w:cs="Times New Roman" w:eastAsia="Times New Roman" w:hAnsi="Times New Roman"/>
          <w:sz w:val="24"/>
          <w:szCs w:val="24"/>
        </w:rPr>
        <w:t xml:space="preserve">[3]	MongoDB, Inc., "NoSQL vs SQL databases." MongoDB. Accessed: Oct. 2, 2026. [Online]. Available: https://www.mongodb.com/resources/basics/databases/nosql-explained/nosql-vs-sql</w:t>
      </w:r>
    </w:p>
    <w:p>
      <w:pPr>
        <w:spacing w:after="80" w:line="300"/>
        <w:ind w:left="480" w:hanging="480"/>
        <w:jc w:val="left"/>
      </w:pPr>
      <w:r>
        <w:rPr>
          <w:rFonts w:ascii="Times New Roman" w:cs="Times New Roman" w:eastAsia="Times New Roman" w:hAnsi="Times New Roman"/>
          <w:sz w:val="24"/>
          <w:szCs w:val="24"/>
        </w:rPr>
        <w:t xml:space="preserve">[4]	B. Ingram, "How Discord stores trillions of messages." Discord Blog. Mar. 6, 2023. Accessed: Oct. 2, 2026. [Online]. Available: https://discord.com/blog/how-discord-stores-trillions-of-messages</w:t>
      </w:r>
    </w:p>
    <w:p>
      <w:pPr>
        <w:spacing w:after="80" w:line="300"/>
        <w:ind w:left="480" w:hanging="480"/>
        <w:jc w:val="left"/>
      </w:pPr>
      <w:r>
        <w:rPr>
          <w:rFonts w:ascii="Times New Roman" w:cs="Times New Roman" w:eastAsia="Times New Roman" w:hAnsi="Times New Roman"/>
          <w:sz w:val="24"/>
          <w:szCs w:val="24"/>
        </w:rPr>
        <w:t xml:space="preserve">[5]	P. Nikam, "SQL vs. MongoDB: What’s the difference?" Udemy Blog. Mar. 2022. Accessed: Oct. 2, 2026. [Online]. Available: https://blog.udemy.com/sql-vs-mongodb/</w:t>
      </w:r>
    </w:p>
    <w:p>
      <w:pPr>
        <w:spacing w:after="80" w:line="300"/>
        <w:ind w:left="480" w:hanging="480"/>
        <w:jc w:val="left"/>
      </w:pPr>
      <w:r>
        <w:rPr>
          <w:rFonts w:ascii="Times New Roman" w:cs="Times New Roman" w:eastAsia="Times New Roman" w:hAnsi="Times New Roman"/>
          <w:sz w:val="24"/>
          <w:szCs w:val="24"/>
        </w:rPr>
        <w:t xml:space="preserve">[6]	R. Cattell, "Scalable SQL and NoSQL data stores," ACM SIGMOD Rec., vol. 39, no. 4, pp. 12–27, May 2011, doi: 10.1145/1978915.1978919.</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2026-10-03T00:18:40.540Z</dcterms:created>
  <dcterms:modified xsi:type="dcterms:W3CDTF">2026-10-03T00:18:40.549Z</dcterms:modified>
</cp:coreProperties>
</file>

<file path=docProps/custom.xml><?xml version="1.0" encoding="utf-8"?>
<Properties xmlns="http://schemas.openxmlformats.org/officeDocument/2006/custom-properties" xmlns:vt="http://schemas.openxmlformats.org/officeDocument/2006/docPropsVTypes"/>
</file>