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BÁO CÁO TU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ẦN 3.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Tên nhóm: Nhóm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Thành viên</w:t>
      </w:r>
    </w:p>
    <w:tbl>
      <w:tblPr/>
      <w:tblGrid>
        <w:gridCol w:w="1548"/>
        <w:gridCol w:w="2520"/>
        <w:gridCol w:w="3374"/>
        <w:gridCol w:w="2134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ễn Hữu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ịnh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huudinh1401.tdc@gmail.com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0961341401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ễn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nguyenhai1449@gmail.com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0967678646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ặng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ương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dpdong255@gmail.com</w:t>
            </w:r>
          </w:p>
        </w:tc>
        <w:tc>
          <w:tcPr>
            <w:tcW w:w="2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0358846070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Email nhóm: ltdd3nhomhaidinh@gmail.com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Pass: nhomhaidinh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Github: ltdd3nhomhaidinh@gmail.com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Pass:  ltdd3nhomhaidinh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ểu: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ác Component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ản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Listview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a. Khái ni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m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React Native cung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ấp một bộ component cho việc xuất ra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các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tử.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ói chung,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ạn sẽ cần sử dụng “FlatList” hay “SectionList”.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Component “FlatList” xuất ra một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 với cấu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liệu. “FlatList”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tốt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ối với những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liệu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ài,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hạng mục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 theo thời gian.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ống với “ScrollView” , “FlatList” chỉ trả về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ển thị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màn hình, không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tử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lúc.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“FlatList” 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2 thuộc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ính: “data” và “renderItem”. “data”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ngu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tin bên trong danh sách còn “renderItem”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ấy một item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và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về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dạng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hiển thị.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b. Ví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ụ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class MyComponent extends Component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 xml:space="preserve">constructor()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super();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const ds = new ListView.DataSource({rowHasChanged: (r1, r2) =&gt; r1 !== r2});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this.state =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ab/>
        <w:t xml:space="preserve">dataSource: ds.cloneWithRows(['row 1', 'row 2']),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 xml:space="preserve">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&lt;ListView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ab/>
        <w:t xml:space="preserve">dataSource={this.state.dataSource}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ab/>
        <w:t xml:space="preserve">renderRow={(rowData) =&gt; &lt;Text&gt;{rowData}&lt;/Text&gt;}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c. Props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dataSource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của ListView.DataSource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sử dụng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initialListSize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Có bao nhiêu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kết xuất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mount thành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ầu. Sử dụng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cho nó có giá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dữ liệu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hình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xu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ất hiện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úc thay vì qua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khung.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onEndReachedThreshold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ỡng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ằng pixel (ảo,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gọi onEndReached.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pageSize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kết xuất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ỗi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ặp sự kiện.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ý: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'h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àng'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bạn thực sự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các ô,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chúng không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ải rộng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chiều rộng của chế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xem của bạn (nh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trong ListViewGridLayoutExample),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trang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ội số của mỗi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ô,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thấy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ảng trống ở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ìa ListView khi các trang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tải.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renderRow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(rowData, partID, rowID, highlightRow) =&gt; renderable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ấy một mục nhập dữ liệu từ nguồn dữ liệu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id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và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trả về một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kết xuất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hiển thị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dạng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àng. Theo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ịnh, dữ liệu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xác là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ững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ngu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ồn dữ liệu,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ưng cũng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cung cấp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trình trích xu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ỉnh. ListView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báo khi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 sáng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ọi highlightRow (phầnID, rowID).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boolean của liền kềRowHighlighted trong renderSpayator, cho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ép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khiển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ấu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cách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và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 sáng.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 sáng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một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lại bằng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ọi highlightRow (null).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renderScrollComponent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về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cuộn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các hàng danh sách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hiển thị. Mặc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trả về một ScrollView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ạo cụ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cho.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scrollRenderAheadDistance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Làm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bắt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kết xuất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khi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úng xu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ất hiện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màn hình, tính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ằng pixel.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stickyHeaderIndices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loạt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số con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những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ứa trẻ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neo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hình khi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ộn.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ụ: việc chuyển stickHeaderInices = {[0]} sẽ khiến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ứa trẻ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cố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 chế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xem cuộn. Thuộc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này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hỗ trợ kết hợp với horizonta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= {true}.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enableEmptySections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 cho biết liệu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phần trống sẽ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hiển thị. Trong bản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át hành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lai,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tiêu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phần trống sẽ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hiển thị theo mặc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 sẽ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chấp nhận. Nếu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trống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mong 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hiển thị,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mục của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loại trừ khỏi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ợng partID.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onEndReached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gọi khi tất cả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hiển thị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danh sách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cuộn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trong onEndReachedThr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ỡng của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ới. Sự kiện cuộn bản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cung cấp.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3">
    <w:abstractNumId w:val="54"/>
  </w:num>
  <w:num w:numId="25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