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B2A4A"/>
          <w:sz w:val="64"/>
          <w:szCs w:val="64"/>
        </w:rPr>
        <w:t xml:space="preserve">MINIGPT-SCRATCH</w:t>
      </w:r>
    </w:p>
    <w:p>
      <w:pPr>
        <w:spacing w:before="200"/>
        <w:jc w:val="center"/>
      </w:pPr>
      <w:r>
        <w:rPr>
          <w:color w:val="0F7C7C"/>
          <w:sz w:val="28"/>
          <w:szCs w:val="28"/>
        </w:rPr>
        <w:t xml:space="preserve">A Transformer Language Model Built and Trained From First Principles</w:t>
      </w:r>
    </w:p>
    <w:p>
      <w:pPr>
        <w:spacing w:before="600"/>
        <w:jc w:val="center"/>
      </w:pPr>
      <w:r>
        <w:rPr>
          <w:i/>
          <w:iCs/>
          <w:color w:val="444444"/>
          <w:sz w:val="24"/>
          <w:szCs w:val="24"/>
        </w:rPr>
        <w:t xml:space="preserve">End-to-End Technical Documentation &amp; Interview Preparation Guide</w:t>
      </w:r>
    </w:p>
    <w:p>
      <w:pPr>
        <w:spacing w:before="2000"/>
      </w:pPr>
    </w:p>
    <w:p>
      <w:pPr>
        <w:jc w:val="center"/>
      </w:pPr>
      <w:r>
        <w:rPr>
          <w:color w:val="444444"/>
          <w:sz w:val="22"/>
          <w:szCs w:val="22"/>
        </w:rPr>
        <w:t xml:space="preserve">Prepared by Nhowmitha Suresh</w:t>
      </w:r>
    </w:p>
    <w:p>
      <w:pPr>
        <w:spacing w:before="100"/>
        <w:jc w:val="center"/>
      </w:pPr>
      <w:r>
        <w:rPr>
          <w:color w:val="444444"/>
          <w:sz w:val="22"/>
          <w:szCs w:val="22"/>
        </w:rPr>
        <w:t xml:space="preserve">Final-Year AI/ML Capstone Project</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pPr>
      <w:r>
        <w:t xml:space="preserve">This project is a GPT-style transformer language model built entirely from first principles — tokenizer, attention mechanism, training loop, and text generation — with no pretrained weights and no external LLM API calls. It began as a different project (a RAG-based operations copilot relying on the OpenAI API) and was deliberately pivoted into a from-scratch model to demonstrate genuine understanding of transformer internals rather than orchestration of an existing model.</w:t>
      </w:r>
    </w:p>
    <w:p>
      <w:pPr>
        <w:spacing w:after="160"/>
      </w:pPr>
      <w:r>
        <w:t xml:space="preserve">The final deliverable includes three trained checkpoints (a baseline model, a larger architectural variant, and an instruction-tuned variant), a controlled comparison experiment between the first two, an honest evaluation of instruction-tuning's real effect, and a deployed full-stack web application (React frontend, FastAPI backend) that lets a visitor generate text from any of the three models and compare them side by side.</w:t>
      </w:r>
    </w:p>
    <w:p>
      <w:pPr>
        <w:spacing w:after="160"/>
      </w:pPr>
      <w:r>
        <w:rPr>
          <w:b w:val="false"/>
          <w:bCs w:val="false"/>
        </w:rPr>
        <w:t xml:space="preserve">The single sentence that summarizes the project: </w:t>
      </w:r>
    </w:p>
    <w:p>
      <w:pPr>
        <w:pBdr>
          <w:left w:val="single" w:color="0F7C7C" w:sz="18" w:space="8"/>
        </w:pBdr>
        <w:spacing w:after="200" w:before="120"/>
        <w:ind w:left="200"/>
      </w:pPr>
      <w:r>
        <w:rPr>
          <w:i/>
          <w:iCs/>
          <w:color w:val="444444"/>
        </w:rPr>
        <w:t xml:space="preserve">“I built and trained a transformer language model completely from scratch, ran a controlled architecture comparison, added an instruction fine-tuning stage on top of it, and deployed the whole thing as a working web application — and I can explain exactly what each stage taught the model and why.”</w:t>
      </w:r>
    </w:p>
    <w:p>
      <w:pPr>
        <w:pStyle w:val="Heading1"/>
        <w:spacing w:after="200" w:before="400"/>
      </w:pPr>
      <w:r>
        <w:t xml:space="preserve">2. Project Evolution: The Pivot Story</w:t>
      </w:r>
    </w:p>
    <w:p>
      <w:pPr>
        <w:spacing w:after="160"/>
      </w:pPr>
      <w:r>
        <w:t xml:space="preserve">This is worth narrating honestly in an interview, because the pivot itself demonstrates good engineering judgment.</w:t>
      </w:r>
    </w:p>
    <w:p>
      <w:pPr>
        <w:pStyle w:val="Heading2"/>
        <w:spacing w:after="150" w:before="300"/>
      </w:pPr>
      <w:r>
        <w:t xml:space="preserve">2.1 Phase 0 — Original Direction: IntelliOps Copilot (RAG)</w:t>
      </w:r>
    </w:p>
    <w:p>
      <w:pPr>
        <w:spacing w:after="160"/>
      </w:pPr>
      <w:r>
        <w:t xml:space="preserve">The project began as “IntelliOps Copilot,” a retrieval-augmented generation (RAG) system intended to diagnose deployment/ops issues using LangChain, MongoDB, PGVector similarity search, and the OpenAI API for embeddings and generation.</w:t>
      </w:r>
    </w:p>
    <w:p>
      <w:pPr>
        <w:spacing w:after="160"/>
      </w:pPr>
      <w:r>
        <w:t xml:space="preserve">During development, a serious integrity bug was found: when the OpenAI API key was left as a placeholder, the embedding function silently fell back to a hand-rolled deterministic keyword-hashing function dressed up to look like a real embedding — producing a suspicious “100% precision” evaluation score. This was traced, understood, and explicitly removed rather than patched over.</w:t>
      </w:r>
    </w:p>
    <w:p>
      <w:pPr>
        <w:pStyle w:val="Heading2"/>
        <w:spacing w:after="150" w:before="300"/>
      </w:pPr>
      <w:r>
        <w:t xml:space="preserve">2.2 Phase 1 — The Deliberate Pivot</w:t>
      </w:r>
    </w:p>
    <w:p>
      <w:pPr>
        <w:spacing w:after="160"/>
      </w:pPr>
      <w:r>
        <w:t xml:space="preserve">Rather than fix the RAG app's API dependency, the decision was made to remove it entirely and build a project that owns 100% of its own intelligence — no external model, no API key, nothing that could fail silently in that way again. This is the origin of MiniGPT-Scratch.</w:t>
      </w:r>
    </w:p>
    <w:p>
      <w:pPr>
        <w:pStyle w:val="Heading2"/>
        <w:spacing w:after="150" w:before="300"/>
      </w:pPr>
      <w:r>
        <w:t xml:space="preserve">2.3 Phase 2 — Build, Train, Compare, Fine-Tune, Deploy</w:t>
      </w:r>
    </w:p>
    <w:p>
      <w:pPr>
        <w:spacing w:after="160"/>
      </w:pPr>
      <w:r>
        <w:t xml:space="preserve">From there, the project proceeded through: scaffolding and tokenizer → model architecture → baseline training → a debugging cycle (detailed in Section 6) → a controlled architecture comparison experiment → an instruction fine-tuning (SFT) stage → a full-stack web deployment.</w:t>
      </w:r>
    </w:p>
    <w:p>
      <w:pPr>
        <w:pBdr>
          <w:left w:val="single" w:color="0F7C7C" w:sz="18" w:space="8"/>
        </w:pBdr>
        <w:spacing w:after="200" w:before="120"/>
        <w:ind w:left="200"/>
      </w:pPr>
      <w:r>
        <w:rPr>
          <w:i/>
          <w:iCs/>
          <w:color w:val="444444"/>
        </w:rPr>
        <w:t xml:space="preserve">MUST-SAY POINT: “I found a bug where my own code was silently faking a result to look better than it was. Instead of patching it, I removed the dependency that made it possible — which is why this project has zero external API calls today.” This shows integrity and root-cause thinking, not just coding ability.</w:t>
      </w:r>
    </w:p>
    <w:p>
      <w:pPr>
        <w:pStyle w:val="Heading1"/>
        <w:spacing w:after="200" w:before="400"/>
      </w:pPr>
      <w:r>
        <w:t xml:space="preserve">3. Complete Architecture Deep Dive</w:t>
      </w:r>
    </w:p>
    <w:p>
      <w:pPr>
        <w:pStyle w:val="Heading2"/>
        <w:spacing w:after="150" w:before="300"/>
      </w:pPr>
      <w:r>
        <w:t xml:space="preserve">3.1 Tokenizer — Byte-Pair Encoding, Built From Scratch</w:t>
      </w:r>
    </w:p>
    <w:p>
      <w:pPr>
        <w:spacing w:after="160"/>
      </w:pPr>
      <w:r>
        <w:t xml:space="preserve">The tokenizer is not a pretrained/imported vocabulary. It starts from individual bytes/characters as the base vocabulary and iteratively finds the most frequent adjacent pair of tokens in the training corpus, merging that pair into a new token. This repeats until the target vocabulary size (512) is reached.</w:t>
      </w:r>
    </w:p>
    <w:p>
      <w:pPr>
        <w:pStyle w:val="ListParagraph"/>
        <w:numPr>
          <w:ilvl w:val="0"/>
          <w:numId w:val="2"/>
        </w:numPr>
        <w:spacing w:after="80"/>
      </w:pPr>
      <w:r>
        <w:t xml:space="preserve">Why BPE: it strikes a balance between character-level (huge sequences, slow) and word-level (huge vocabulary, can't handle unseen words) tokenization — common substrings become single tokens, rare words fall back to smaller pieces.</w:t>
      </w:r>
    </w:p>
    <w:p>
      <w:pPr>
        <w:pStyle w:val="ListParagraph"/>
        <w:numPr>
          <w:ilvl w:val="0"/>
          <w:numId w:val="2"/>
        </w:numPr>
        <w:spacing w:after="80"/>
      </w:pPr>
      <w:r>
        <w:t xml:space="preserve">Why vocab_size=512, not 50,000+ like GPT-2: the corpus is small (single-digit megabytes) and the model itself is small (single-digit millions of parameters) — a large vocabulary would mean most tokens are seen only a handful of times, which a model this size cannot learn well. Vocabulary size was matched to model/data scale, not chosen arbitrarily.</w:t>
      </w:r>
    </w:p>
    <w:p>
      <w:pPr>
        <w:pStyle w:val="Heading2"/>
        <w:spacing w:after="150" w:before="300"/>
      </w:pPr>
      <w:r>
        <w:t xml:space="preserve">3.2 Model Architecture — Decoder-Only Transformer</w:t>
      </w:r>
    </w:p>
    <w:p>
      <w:pPr>
        <w:spacing w:after="160"/>
      </w:pPr>
      <w:r>
        <w:t xml:space="preserve">Every component is implemented directly with PyTorch's base nn.Module building blocks — no imported transformer implementation.</w:t>
      </w:r>
    </w:p>
    <w:p>
      <w:pPr>
        <w:pStyle w:val="ListParagraph"/>
        <w:numPr>
          <w:ilvl w:val="0"/>
          <w:numId w:val="2"/>
        </w:numPr>
        <w:spacing w:after="80"/>
      </w:pPr>
      <w:r>
        <w:t xml:space="preserve">Token embedding table + learned positional embedding table (summed together, since attention itself has no built-in sense of sequence order).</w:t>
      </w:r>
    </w:p>
    <w:p>
      <w:pPr>
        <w:pStyle w:val="ListParagraph"/>
        <w:numPr>
          <w:ilvl w:val="0"/>
          <w:numId w:val="2"/>
        </w:numPr>
        <w:spacing w:after="80"/>
      </w:pPr>
      <w:r>
        <w:t xml:space="preserve">N stacked Transformer blocks, each containing: causal multi-head self-attention, a feedforward network, and two layer norms with residual connections around each sub-layer.</w:t>
      </w:r>
    </w:p>
    <w:p>
      <w:pPr>
        <w:pStyle w:val="ListParagraph"/>
        <w:numPr>
          <w:ilvl w:val="0"/>
          <w:numId w:val="2"/>
        </w:numPr>
        <w:spacing w:after="80"/>
      </w:pPr>
      <w:r>
        <w:t xml:space="preserve">Causal self-attention: each token computes Query, Key, and Value vectors; attention weights come from comparing a token's Query against every earlier token's Key (a triangular mask blocks attention to future tokens, which is what makes this a valid next-token predictor and not a cheat that can see the answer).</w:t>
      </w:r>
    </w:p>
    <w:p>
      <w:pPr>
        <w:pStyle w:val="ListParagraph"/>
        <w:numPr>
          <w:ilvl w:val="0"/>
          <w:numId w:val="2"/>
        </w:numPr>
        <w:spacing w:after="80"/>
      </w:pPr>
      <w:r>
        <w:t xml:space="preserve">Pre-layer-norm placement (LayerNorm before attention/feedforward, not after): this is the modern, more stable convention — it keeps gradients better behaved through deep stacks, versus the original 2017 Transformer paper's post-LN design, which is harder to train stably without careful learning-rate warmup.</w:t>
      </w:r>
    </w:p>
    <w:p>
      <w:pPr>
        <w:pStyle w:val="ListParagraph"/>
        <w:numPr>
          <w:ilvl w:val="0"/>
          <w:numId w:val="2"/>
        </w:numPr>
        <w:spacing w:after="80"/>
      </w:pPr>
      <w:r>
        <w:t xml:space="preserve">Weight tying: the token embedding matrix and the final output projection (“language modeling head”) share the same weights. This roughly halves that portion of the parameter count and tends to improve quality on small models, since the input and output vocabulary spaces are literally the same space.</w:t>
      </w:r>
    </w:p>
    <w:p>
      <w:pPr>
        <w:pStyle w:val="Heading2"/>
        <w:spacing w:after="150" w:before="300"/>
      </w:pPr>
      <w:r>
        <w:t xml:space="preserve">3.3 Training Loop Mechanics</w:t>
      </w:r>
    </w:p>
    <w:p>
      <w:pPr>
        <w:spacing w:after="160"/>
      </w:pPr>
      <w:r>
        <w:t xml:space="preserve">Every iteration of training does the following:</w:t>
      </w:r>
    </w:p>
    <w:p>
      <w:pPr>
        <w:pStyle w:val="ListParagraph"/>
        <w:numPr>
          <w:ilvl w:val="0"/>
          <w:numId w:val="2"/>
        </w:numPr>
        <w:spacing w:after="80"/>
      </w:pPr>
      <w:r>
        <w:t xml:space="preserve">1. Sample a random batch of fixed-length token windows from the training data; the target is simply the input shifted one position to the right — next-token prediction requires no manual labels.</w:t>
      </w:r>
    </w:p>
    <w:p>
      <w:pPr>
        <w:pStyle w:val="ListParagraph"/>
        <w:numPr>
          <w:ilvl w:val="0"/>
          <w:numId w:val="2"/>
        </w:numPr>
        <w:spacing w:after="80"/>
      </w:pPr>
      <w:r>
        <w:t xml:space="preserve">2. Forward pass: compute logits (a probability distribution over the vocabulary) for every position.</w:t>
      </w:r>
    </w:p>
    <w:p>
      <w:pPr>
        <w:pStyle w:val="ListParagraph"/>
        <w:numPr>
          <w:ilvl w:val="0"/>
          <w:numId w:val="2"/>
        </w:numPr>
        <w:spacing w:after="80"/>
      </w:pPr>
      <w:r>
        <w:t xml:space="preserve">3. Cross-entropy loss compares predicted distributions against the real next tokens.</w:t>
      </w:r>
    </w:p>
    <w:p>
      <w:pPr>
        <w:pStyle w:val="ListParagraph"/>
        <w:numPr>
          <w:ilvl w:val="0"/>
          <w:numId w:val="2"/>
        </w:numPr>
        <w:spacing w:after="80"/>
      </w:pPr>
      <w:r>
        <w:t xml:space="preserve">4. Backward pass: PyTorch autograd computes the gradient of the loss with respect to every parameter via backpropagation.</w:t>
      </w:r>
    </w:p>
    <w:p>
      <w:pPr>
        <w:pStyle w:val="ListParagraph"/>
        <w:numPr>
          <w:ilvl w:val="0"/>
          <w:numId w:val="2"/>
        </w:numPr>
        <w:spacing w:after="80"/>
      </w:pPr>
      <w:r>
        <w:t xml:space="preserve">5. AdamW optimizer step, using a warmup-then-cosine-decay learning rate schedule (ramps up from near zero, peaks, then smoothly decays across training).</w:t>
      </w:r>
    </w:p>
    <w:p>
      <w:pPr>
        <w:pStyle w:val="ListParagraph"/>
        <w:numPr>
          <w:ilvl w:val="0"/>
          <w:numId w:val="2"/>
        </w:numPr>
        <w:spacing w:after="80"/>
      </w:pPr>
      <w:r>
        <w:t xml:space="preserve">6. Periodic evaluation on held-out validation data to track generalization, not just memorization.</w:t>
      </w:r>
    </w:p>
    <w:p>
      <w:pPr>
        <w:pStyle w:val="Heading2"/>
        <w:spacing w:after="150" w:before="300"/>
      </w:pPr>
      <w:r>
        <w:t xml:space="preserve">3.4 Text Generation (Inference)</w:t>
      </w:r>
    </w:p>
    <w:p>
      <w:pPr>
        <w:spacing w:after="160"/>
      </w:pPr>
      <w:r>
        <w:t xml:space="preserve">Generation is autoregressive: the prompt is encoded, fed through the model to get next-token logits, and one token is sampled and appended, repeating until the token budget is reached. Two controls shape this process directly:</w:t>
      </w:r>
    </w:p>
    <w:p>
      <w:pPr>
        <w:pStyle w:val="ListParagraph"/>
        <w:numPr>
          <w:ilvl w:val="0"/>
          <w:numId w:val="2"/>
        </w:numPr>
        <w:spacing w:after="80"/>
      </w:pPr>
      <w:r>
        <w:t xml:space="preserve">Temperature: divides logits before the softmax. Near-zero temperature sharpens the distribution toward the single most likely token (greedy); higher temperature (0.8–1.0) flattens it, allowing lower-probability tokens a real chance — this is what produces varied, less repetitive output.</w:t>
      </w:r>
    </w:p>
    <w:p>
      <w:pPr>
        <w:pStyle w:val="ListParagraph"/>
        <w:numPr>
          <w:ilvl w:val="0"/>
          <w:numId w:val="2"/>
        </w:numPr>
        <w:spacing w:after="80"/>
      </w:pPr>
      <w:r>
        <w:t xml:space="preserve">Repetition penalty: reduces the logit score of any token that appeared within a recent window of generated tokens, actively discouraging the model from looping. The exact window size mattered a great deal in practice (see Section 6).</w:t>
      </w:r>
    </w:p>
    <w:p>
      <w:pPr>
        <w:pStyle w:val="Heading1"/>
        <w:spacing w:after="200" w:before="400"/>
      </w:pPr>
      <w:r>
        <w:t xml:space="preserve">4. Training Journey: Phases, Timeline, and Real Numbers</w:t>
      </w:r>
    </w:p>
    <w:p>
      <w:pPr>
        <w:pStyle w:val="Heading2"/>
        <w:spacing w:after="150" w:before="300"/>
      </w:pPr>
      <w:r>
        <w:t xml:space="preserve">4.1 Baseline Model</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1B2A4A" w:val="clear"/>
            <w:tcMar>
              <w:top w:type="dxa" w:w="80"/>
              <w:left w:type="dxa" w:w="100"/>
              <w:bottom w:type="dxa" w:w="80"/>
              <w:right w:type="dxa" w:w="100"/>
            </w:tcMar>
          </w:tcPr>
          <w:p>
            <w:r>
              <w:rPr>
                <w:b/>
                <w:bCs/>
                <w:color w:val="FFFFFF"/>
              </w:rPr>
              <w:t xml:space="preserve">Property</w:t>
            </w:r>
          </w:p>
        </w:tc>
        <w:tc>
          <w:tcPr>
            <w:tcW w:type="dxa" w:w="3200"/>
            <w:shd w:fill="1B2A4A" w:val="clear"/>
            <w:tcMar>
              <w:top w:type="dxa" w:w="80"/>
              <w:left w:type="dxa" w:w="100"/>
              <w:bottom w:type="dxa" w:w="80"/>
              <w:right w:type="dxa" w:w="100"/>
            </w:tcMar>
          </w:tcPr>
          <w:p>
            <w:r>
              <w:rPr>
                <w:b/>
                <w:bCs/>
                <w:color w:val="FFFFFF"/>
              </w:rPr>
              <w:t xml:space="preserve">Value</w:t>
            </w:r>
          </w:p>
        </w:tc>
      </w:tr>
      <w:tr>
        <w:tc>
          <w:tcPr>
            <w:tcW w:type="dxa" w:w="3200"/>
            <w:tcMar>
              <w:top w:type="dxa" w:w="80"/>
              <w:left w:type="dxa" w:w="100"/>
              <w:bottom w:type="dxa" w:w="80"/>
              <w:right w:type="dxa" w:w="100"/>
            </w:tcMar>
          </w:tcPr>
          <w:p>
            <w:r>
              <w:rPr>
                <w:b w:val="false"/>
                <w:bCs w:val="false"/>
                <w:color w:val="000000"/>
              </w:rPr>
              <w:t xml:space="preserve">Embedding dimension / heads / layers</w:t>
            </w:r>
          </w:p>
        </w:tc>
        <w:tc>
          <w:tcPr>
            <w:tcW w:type="dxa" w:w="3200"/>
            <w:tcMar>
              <w:top w:type="dxa" w:w="80"/>
              <w:left w:type="dxa" w:w="100"/>
              <w:bottom w:type="dxa" w:w="80"/>
              <w:right w:type="dxa" w:w="100"/>
            </w:tcMar>
          </w:tcPr>
          <w:p>
            <w:r>
              <w:rPr>
                <w:b w:val="false"/>
                <w:bCs w:val="false"/>
                <w:color w:val="000000"/>
              </w:rPr>
              <w:t xml:space="preserve">128 / 4 / 4</w:t>
            </w:r>
          </w:p>
        </w:tc>
      </w:tr>
      <w:tr>
        <w:tc>
          <w:tcPr>
            <w:tcW w:type="dxa" w:w="3200"/>
            <w:shd w:fill="F2F2F2" w:val="clear"/>
            <w:tcMar>
              <w:top w:type="dxa" w:w="80"/>
              <w:left w:type="dxa" w:w="100"/>
              <w:bottom w:type="dxa" w:w="80"/>
              <w:right w:type="dxa" w:w="100"/>
            </w:tcMar>
          </w:tcPr>
          <w:p>
            <w:r>
              <w:rPr>
                <w:b w:val="false"/>
                <w:bCs w:val="false"/>
                <w:color w:val="000000"/>
              </w:rPr>
              <w:t xml:space="preserve">Total parameters</w:t>
            </w:r>
          </w:p>
        </w:tc>
        <w:tc>
          <w:tcPr>
            <w:tcW w:type="dxa" w:w="3200"/>
            <w:shd w:fill="F2F2F2" w:val="clear"/>
            <w:tcMar>
              <w:top w:type="dxa" w:w="80"/>
              <w:left w:type="dxa" w:w="100"/>
              <w:bottom w:type="dxa" w:w="80"/>
              <w:right w:type="dxa" w:w="100"/>
            </w:tcMar>
          </w:tcPr>
          <w:p>
            <w:r>
              <w:rPr>
                <w:b w:val="false"/>
                <w:bCs w:val="false"/>
                <w:color w:val="000000"/>
              </w:rPr>
              <w:t xml:space="preserve">875,264 (~0.88M)</w:t>
            </w:r>
          </w:p>
        </w:tc>
      </w:tr>
      <w:tr>
        <w:tc>
          <w:tcPr>
            <w:tcW w:type="dxa" w:w="3200"/>
            <w:tcMar>
              <w:top w:type="dxa" w:w="80"/>
              <w:left w:type="dxa" w:w="100"/>
              <w:bottom w:type="dxa" w:w="80"/>
              <w:right w:type="dxa" w:w="100"/>
            </w:tcMar>
          </w:tcPr>
          <w:p>
            <w:r>
              <w:rPr>
                <w:b w:val="false"/>
                <w:bCs w:val="false"/>
                <w:color w:val="000000"/>
              </w:rPr>
              <w:t xml:space="preserve">Training length</w:t>
            </w:r>
          </w:p>
        </w:tc>
        <w:tc>
          <w:tcPr>
            <w:tcW w:type="dxa" w:w="3200"/>
            <w:tcMar>
              <w:top w:type="dxa" w:w="80"/>
              <w:left w:type="dxa" w:w="100"/>
              <w:bottom w:type="dxa" w:w="80"/>
              <w:right w:type="dxa" w:w="100"/>
            </w:tcMar>
          </w:tcPr>
          <w:p>
            <w:r>
              <w:rPr>
                <w:b w:val="false"/>
                <w:bCs w:val="false"/>
                <w:color w:val="000000"/>
              </w:rPr>
              <w:t xml:space="preserve">12,000 iterations</w:t>
            </w:r>
          </w:p>
        </w:tc>
      </w:tr>
      <w:tr>
        <w:tc>
          <w:tcPr>
            <w:tcW w:type="dxa" w:w="3200"/>
            <w:shd w:fill="F2F2F2" w:val="clear"/>
            <w:tcMar>
              <w:top w:type="dxa" w:w="80"/>
              <w:left w:type="dxa" w:w="100"/>
              <w:bottom w:type="dxa" w:w="80"/>
              <w:right w:type="dxa" w:w="100"/>
            </w:tcMar>
          </w:tcPr>
          <w:p>
            <w:r>
              <w:rPr>
                <w:b w:val="false"/>
                <w:bCs w:val="false"/>
                <w:color w:val="000000"/>
              </w:rPr>
              <w:t xml:space="preserve">Total training time (CPU)</w:t>
            </w:r>
          </w:p>
        </w:tc>
        <w:tc>
          <w:tcPr>
            <w:tcW w:type="dxa" w:w="3200"/>
            <w:shd w:fill="F2F2F2" w:val="clear"/>
            <w:tcMar>
              <w:top w:type="dxa" w:w="80"/>
              <w:left w:type="dxa" w:w="100"/>
              <w:bottom w:type="dxa" w:w="80"/>
              <w:right w:type="dxa" w:w="100"/>
            </w:tcMar>
          </w:tcPr>
          <w:p>
            <w:r>
              <w:rPr>
                <w:b w:val="false"/>
                <w:bCs w:val="false"/>
                <w:color w:val="000000"/>
              </w:rPr>
              <w:t xml:space="preserve">~5,400 seconds (~1.5 hours)</w:t>
            </w:r>
          </w:p>
        </w:tc>
      </w:tr>
      <w:tr>
        <w:tc>
          <w:tcPr>
            <w:tcW w:type="dxa" w:w="3200"/>
            <w:tcMar>
              <w:top w:type="dxa" w:w="80"/>
              <w:left w:type="dxa" w:w="100"/>
              <w:bottom w:type="dxa" w:w="80"/>
              <w:right w:type="dxa" w:w="100"/>
            </w:tcMar>
          </w:tcPr>
          <w:p>
            <w:r>
              <w:rPr>
                <w:b w:val="false"/>
                <w:bCs w:val="false"/>
                <w:color w:val="000000"/>
              </w:rPr>
              <w:t xml:space="preserve">Final validation loss / perplexity</w:t>
            </w:r>
          </w:p>
        </w:tc>
        <w:tc>
          <w:tcPr>
            <w:tcW w:type="dxa" w:w="3200"/>
            <w:tcMar>
              <w:top w:type="dxa" w:w="80"/>
              <w:left w:type="dxa" w:w="100"/>
              <w:bottom w:type="dxa" w:w="80"/>
              <w:right w:type="dxa" w:w="100"/>
            </w:tcMar>
          </w:tcPr>
          <w:p>
            <w:r>
              <w:rPr>
                <w:b w:val="false"/>
                <w:bCs w:val="false"/>
                <w:color w:val="000000"/>
              </w:rPr>
              <w:t xml:space="preserve">2.4656 / 11.77</w:t>
            </w:r>
          </w:p>
        </w:tc>
      </w:tr>
    </w:tbl>
    <w:p>
      <w:pPr>
        <w:pStyle w:val="Heading2"/>
        <w:spacing w:after="150" w:before="300"/>
      </w:pPr>
      <w:r>
        <w:t xml:space="preserve">4.2 Architectural Variant (Comparison Experiment)</w:t>
      </w:r>
    </w:p>
    <w:p>
      <w:pPr>
        <w:spacing w:after="160"/>
      </w:pPr>
      <w:r>
        <w:t xml:space="preserve">To turn a single trained model into a real experiment, a second model was trained with double the embedding dimension, everything else held constant, on the same corpus and tokenizer, logged to a fully separate checkpoint/log path so nothing about the baseline was disturbed.</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1B2A4A" w:val="clear"/>
            <w:tcMar>
              <w:top w:type="dxa" w:w="80"/>
              <w:left w:type="dxa" w:w="100"/>
              <w:bottom w:type="dxa" w:w="80"/>
              <w:right w:type="dxa" w:w="100"/>
            </w:tcMar>
          </w:tcPr>
          <w:p>
            <w:r>
              <w:rPr>
                <w:b/>
                <w:bCs/>
                <w:color w:val="FFFFFF"/>
              </w:rPr>
              <w:t xml:space="preserve">Property</w:t>
            </w:r>
          </w:p>
        </w:tc>
        <w:tc>
          <w:tcPr>
            <w:tcW w:type="dxa" w:w="3200"/>
            <w:shd w:fill="1B2A4A" w:val="clear"/>
            <w:tcMar>
              <w:top w:type="dxa" w:w="80"/>
              <w:left w:type="dxa" w:w="100"/>
              <w:bottom w:type="dxa" w:w="80"/>
              <w:right w:type="dxa" w:w="100"/>
            </w:tcMar>
          </w:tcPr>
          <w:p>
            <w:r>
              <w:rPr>
                <w:b/>
                <w:bCs/>
                <w:color w:val="FFFFFF"/>
              </w:rPr>
              <w:t xml:space="preserve">Value</w:t>
            </w:r>
          </w:p>
        </w:tc>
      </w:tr>
      <w:tr>
        <w:tc>
          <w:tcPr>
            <w:tcW w:type="dxa" w:w="3200"/>
            <w:tcMar>
              <w:top w:type="dxa" w:w="80"/>
              <w:left w:type="dxa" w:w="100"/>
              <w:bottom w:type="dxa" w:w="80"/>
              <w:right w:type="dxa" w:w="100"/>
            </w:tcMar>
          </w:tcPr>
          <w:p>
            <w:r>
              <w:rPr>
                <w:b w:val="false"/>
                <w:bCs w:val="false"/>
                <w:color w:val="000000"/>
              </w:rPr>
              <w:t xml:space="preserve">Embedding dimension / heads / layers</w:t>
            </w:r>
          </w:p>
        </w:tc>
        <w:tc>
          <w:tcPr>
            <w:tcW w:type="dxa" w:w="3200"/>
            <w:tcMar>
              <w:top w:type="dxa" w:w="80"/>
              <w:left w:type="dxa" w:w="100"/>
              <w:bottom w:type="dxa" w:w="80"/>
              <w:right w:type="dxa" w:w="100"/>
            </w:tcMar>
          </w:tcPr>
          <w:p>
            <w:r>
              <w:rPr>
                <w:b w:val="false"/>
                <w:bCs w:val="false"/>
                <w:color w:val="000000"/>
              </w:rPr>
              <w:t xml:space="preserve">256 / 4 / 4</w:t>
            </w:r>
          </w:p>
        </w:tc>
      </w:tr>
      <w:tr>
        <w:tc>
          <w:tcPr>
            <w:tcW w:type="dxa" w:w="3200"/>
            <w:shd w:fill="F2F2F2" w:val="clear"/>
            <w:tcMar>
              <w:top w:type="dxa" w:w="80"/>
              <w:left w:type="dxa" w:w="100"/>
              <w:bottom w:type="dxa" w:w="80"/>
              <w:right w:type="dxa" w:w="100"/>
            </w:tcMar>
          </w:tcPr>
          <w:p>
            <w:r>
              <w:rPr>
                <w:b w:val="false"/>
                <w:bCs w:val="false"/>
                <w:color w:val="000000"/>
              </w:rPr>
              <w:t xml:space="preserve">Total parameters</w:t>
            </w:r>
          </w:p>
        </w:tc>
        <w:tc>
          <w:tcPr>
            <w:tcW w:type="dxa" w:w="3200"/>
            <w:shd w:fill="F2F2F2" w:val="clear"/>
            <w:tcMar>
              <w:top w:type="dxa" w:w="80"/>
              <w:left w:type="dxa" w:w="100"/>
              <w:bottom w:type="dxa" w:w="80"/>
              <w:right w:type="dxa" w:w="100"/>
            </w:tcMar>
          </w:tcPr>
          <w:p>
            <w:r>
              <w:rPr>
                <w:b w:val="false"/>
                <w:bCs w:val="false"/>
                <w:color w:val="000000"/>
              </w:rPr>
              <w:t xml:space="preserve">3,323,392 (~3.32M, 3.8x baseline)</w:t>
            </w:r>
          </w:p>
        </w:tc>
      </w:tr>
      <w:tr>
        <w:tc>
          <w:tcPr>
            <w:tcW w:type="dxa" w:w="3200"/>
            <w:tcMar>
              <w:top w:type="dxa" w:w="80"/>
              <w:left w:type="dxa" w:w="100"/>
              <w:bottom w:type="dxa" w:w="80"/>
              <w:right w:type="dxa" w:w="100"/>
            </w:tcMar>
          </w:tcPr>
          <w:p>
            <w:r>
              <w:rPr>
                <w:b w:val="false"/>
                <w:bCs w:val="false"/>
                <w:color w:val="000000"/>
              </w:rPr>
              <w:t xml:space="preserve">Training length</w:t>
            </w:r>
          </w:p>
        </w:tc>
        <w:tc>
          <w:tcPr>
            <w:tcW w:type="dxa" w:w="3200"/>
            <w:tcMar>
              <w:top w:type="dxa" w:w="80"/>
              <w:left w:type="dxa" w:w="100"/>
              <w:bottom w:type="dxa" w:w="80"/>
              <w:right w:type="dxa" w:w="100"/>
            </w:tcMar>
          </w:tcPr>
          <w:p>
            <w:r>
              <w:rPr>
                <w:b w:val="false"/>
                <w:bCs w:val="false"/>
                <w:color w:val="000000"/>
              </w:rPr>
              <w:t xml:space="preserve">~12,000 iterations (best checkpoint at step 11,000)</w:t>
            </w:r>
          </w:p>
        </w:tc>
      </w:tr>
      <w:tr>
        <w:tc>
          <w:tcPr>
            <w:tcW w:type="dxa" w:w="3200"/>
            <w:shd w:fill="F2F2F2" w:val="clear"/>
            <w:tcMar>
              <w:top w:type="dxa" w:w="80"/>
              <w:left w:type="dxa" w:w="100"/>
              <w:bottom w:type="dxa" w:w="80"/>
              <w:right w:type="dxa" w:w="100"/>
            </w:tcMar>
          </w:tcPr>
          <w:p>
            <w:r>
              <w:rPr>
                <w:b w:val="false"/>
                <w:bCs w:val="false"/>
                <w:color w:val="000000"/>
              </w:rPr>
              <w:t xml:space="preserve">Total training time (CPU)</w:t>
            </w:r>
          </w:p>
        </w:tc>
        <w:tc>
          <w:tcPr>
            <w:tcW w:type="dxa" w:w="3200"/>
            <w:shd w:fill="F2F2F2" w:val="clear"/>
            <w:tcMar>
              <w:top w:type="dxa" w:w="80"/>
              <w:left w:type="dxa" w:w="100"/>
              <w:bottom w:type="dxa" w:w="80"/>
              <w:right w:type="dxa" w:w="100"/>
            </w:tcMar>
          </w:tcPr>
          <w:p>
            <w:r>
              <w:rPr>
                <w:b w:val="false"/>
                <w:bCs w:val="false"/>
                <w:color w:val="000000"/>
              </w:rPr>
              <w:t xml:space="preserve">~24,684 seconds (~6.9 hours, 4.6x baseline)</w:t>
            </w:r>
          </w:p>
        </w:tc>
      </w:tr>
      <w:tr>
        <w:tc>
          <w:tcPr>
            <w:tcW w:type="dxa" w:w="3200"/>
            <w:tcMar>
              <w:top w:type="dxa" w:w="80"/>
              <w:left w:type="dxa" w:w="100"/>
              <w:bottom w:type="dxa" w:w="80"/>
              <w:right w:type="dxa" w:w="100"/>
            </w:tcMar>
          </w:tcPr>
          <w:p>
            <w:r>
              <w:rPr>
                <w:b w:val="false"/>
                <w:bCs w:val="false"/>
                <w:color w:val="000000"/>
              </w:rPr>
              <w:t xml:space="preserve">Best validation loss / perplexity</w:t>
            </w:r>
          </w:p>
        </w:tc>
        <w:tc>
          <w:tcPr>
            <w:tcW w:type="dxa" w:w="3200"/>
            <w:tcMar>
              <w:top w:type="dxa" w:w="80"/>
              <w:left w:type="dxa" w:w="100"/>
              <w:bottom w:type="dxa" w:w="80"/>
              <w:right w:type="dxa" w:w="100"/>
            </w:tcMar>
          </w:tcPr>
          <w:p>
            <w:r>
              <w:rPr>
                <w:b w:val="false"/>
                <w:bCs w:val="false"/>
                <w:color w:val="000000"/>
              </w:rPr>
              <w:t xml:space="preserve">2.2031 / 9.05</w:t>
            </w:r>
          </w:p>
        </w:tc>
      </w:tr>
      <w:tr>
        <w:tc>
          <w:tcPr>
            <w:tcW w:type="dxa" w:w="3200"/>
            <w:shd w:fill="F2F2F2" w:val="clear"/>
            <w:tcMar>
              <w:top w:type="dxa" w:w="80"/>
              <w:left w:type="dxa" w:w="100"/>
              <w:bottom w:type="dxa" w:w="80"/>
              <w:right w:type="dxa" w:w="100"/>
            </w:tcMar>
          </w:tcPr>
          <w:p>
            <w:r>
              <w:rPr>
                <w:b w:val="false"/>
                <w:bCs w:val="false"/>
                <w:color w:val="000000"/>
              </w:rPr>
              <w:t xml:space="preserve">Steps to match baseline's final perplexity</w:t>
            </w:r>
          </w:p>
        </w:tc>
        <w:tc>
          <w:tcPr>
            <w:tcW w:type="dxa" w:w="3200"/>
            <w:shd w:fill="F2F2F2" w:val="clear"/>
            <w:tcMar>
              <w:top w:type="dxa" w:w="80"/>
              <w:left w:type="dxa" w:w="100"/>
              <w:bottom w:type="dxa" w:w="80"/>
              <w:right w:type="dxa" w:w="100"/>
            </w:tcMar>
          </w:tcPr>
          <w:p>
            <w:r>
              <w:rPr>
                <w:b w:val="false"/>
                <w:bCs w:val="false"/>
                <w:color w:val="000000"/>
              </w:rPr>
              <w:t xml:space="preserve">~3,000 (4x more sample-efficient)</w:t>
            </w:r>
          </w:p>
        </w:tc>
      </w:tr>
    </w:tbl>
    <w:p>
      <w:pPr>
        <w:pBdr>
          <w:left w:val="single" w:color="0F7C7C" w:sz="18" w:space="8"/>
        </w:pBdr>
        <w:spacing w:after="200" w:before="120"/>
        <w:ind w:left="200"/>
      </w:pPr>
      <w:r>
        <w:rPr>
          <w:i/>
          <w:iCs/>
          <w:color w:val="444444"/>
        </w:rPr>
        <w:t xml:space="preserve">MUST-SAY FINDING: “The 3.8x larger model reached the smaller model's final quality in about a quarter of the training steps, but each of those steps cost roughly 4x more compute — so total wall-clock time to reach equivalent quality was actually similar between the two. The real payoff of the bigger model was in the quality ceiling it could reach with additional training beyond that point, not raw speed.” This is the kind of nuanced, non-obvious conclusion that shows real understanding of the compute/capacity/data trade-off, not just ‘bigger is better.’</w:t>
      </w:r>
    </w:p>
    <w:p>
      <w:pPr>
        <w:pStyle w:val="Heading2"/>
        <w:spacing w:after="150" w:before="300"/>
      </w:pPr>
      <w:r>
        <w:t xml:space="preserve">4.3 Instruction Fine-Tuning (SFT)</w:t>
      </w:r>
    </w:p>
    <w:p>
      <w:pPr>
        <w:spacing w:after="160"/>
      </w:pPr>
      <w:r>
        <w:t xml:space="preserve">On top of the pretrained baseline checkpoint, a lightweight supervised fine-tuning stage was added to teach the model to respond to instructions rather than simply continue arbitrary text — the same conceptual step that turns a base model like GPT-3 into an instruction-following model like ChatGPT, at a scale trainable in minutes on a personal machine.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1B2A4A" w:val="clear"/>
            <w:tcMar>
              <w:top w:type="dxa" w:w="80"/>
              <w:left w:type="dxa" w:w="100"/>
              <w:bottom w:type="dxa" w:w="80"/>
              <w:right w:type="dxa" w:w="100"/>
            </w:tcMar>
          </w:tcPr>
          <w:p>
            <w:r>
              <w:rPr>
                <w:b/>
                <w:bCs/>
                <w:color w:val="FFFFFF"/>
              </w:rPr>
              <w:t xml:space="preserve">Property</w:t>
            </w:r>
          </w:p>
        </w:tc>
        <w:tc>
          <w:tcPr>
            <w:tcW w:type="dxa" w:w="3200"/>
            <w:shd w:fill="1B2A4A" w:val="clear"/>
            <w:tcMar>
              <w:top w:type="dxa" w:w="80"/>
              <w:left w:type="dxa" w:w="100"/>
              <w:bottom w:type="dxa" w:w="80"/>
              <w:right w:type="dxa" w:w="100"/>
            </w:tcMar>
          </w:tcPr>
          <w:p>
            <w:r>
              <w:rPr>
                <w:b/>
                <w:bCs/>
                <w:color w:val="FFFFFF"/>
              </w:rPr>
              <w:t xml:space="preserve">Value</w:t>
            </w:r>
          </w:p>
        </w:tc>
      </w:tr>
      <w:tr>
        <w:tc>
          <w:tcPr>
            <w:tcW w:type="dxa" w:w="3200"/>
            <w:tcMar>
              <w:top w:type="dxa" w:w="80"/>
              <w:left w:type="dxa" w:w="100"/>
              <w:bottom w:type="dxa" w:w="80"/>
              <w:right w:type="dxa" w:w="100"/>
            </w:tcMar>
          </w:tcPr>
          <w:p>
            <w:r>
              <w:rPr>
                <w:b w:val="false"/>
                <w:bCs w:val="false"/>
                <w:color w:val="000000"/>
              </w:rPr>
              <w:t xml:space="preserve">Fine-tuning dataset</w:t>
            </w:r>
          </w:p>
        </w:tc>
        <w:tc>
          <w:tcPr>
            <w:tcW w:type="dxa" w:w="3200"/>
            <w:tcMar>
              <w:top w:type="dxa" w:w="80"/>
              <w:left w:type="dxa" w:w="100"/>
              <w:bottom w:type="dxa" w:w="80"/>
              <w:right w:type="dxa" w:w="100"/>
            </w:tcMar>
          </w:tcPr>
          <w:p>
            <w:r>
              <w:rPr>
                <w:b w:val="false"/>
                <w:bCs w:val="false"/>
                <w:color w:val="000000"/>
              </w:rPr>
              <w:t xml:space="preserve">150 hand-authored Shakespeare-domain instruction/response pairs</w:t>
            </w:r>
          </w:p>
        </w:tc>
      </w:tr>
      <w:tr>
        <w:tc>
          <w:tcPr>
            <w:tcW w:type="dxa" w:w="3200"/>
            <w:shd w:fill="F2F2F2" w:val="clear"/>
            <w:tcMar>
              <w:top w:type="dxa" w:w="80"/>
              <w:left w:type="dxa" w:w="100"/>
              <w:bottom w:type="dxa" w:w="80"/>
              <w:right w:type="dxa" w:w="100"/>
            </w:tcMar>
          </w:tcPr>
          <w:p>
            <w:r>
              <w:rPr>
                <w:b w:val="false"/>
                <w:bCs w:val="false"/>
                <w:color w:val="000000"/>
              </w:rPr>
              <w:t xml:space="preserve">Format</w:t>
            </w:r>
          </w:p>
        </w:tc>
        <w:tc>
          <w:tcPr>
            <w:tcW w:type="dxa" w:w="3200"/>
            <w:shd w:fill="F2F2F2" w:val="clear"/>
            <w:tcMar>
              <w:top w:type="dxa" w:w="80"/>
              <w:left w:type="dxa" w:w="100"/>
              <w:bottom w:type="dxa" w:w="80"/>
              <w:right w:type="dxa" w:w="100"/>
            </w:tcMar>
          </w:tcPr>
          <w:p>
            <w:r>
              <w:rPr>
                <w:b w:val="false"/>
                <w:bCs w:val="false"/>
                <w:color w:val="000000"/>
              </w:rPr>
              <w:t xml:space="preserve">“### Instruction:\n{instruction}\n### Response:\n{response}”</w:t>
            </w:r>
          </w:p>
        </w:tc>
      </w:tr>
      <w:tr>
        <w:tc>
          <w:tcPr>
            <w:tcW w:type="dxa" w:w="3200"/>
            <w:tcMar>
              <w:top w:type="dxa" w:w="80"/>
              <w:left w:type="dxa" w:w="100"/>
              <w:bottom w:type="dxa" w:w="80"/>
              <w:right w:type="dxa" w:w="100"/>
            </w:tcMar>
          </w:tcPr>
          <w:p>
            <w:r>
              <w:rPr>
                <w:b w:val="false"/>
                <w:bCs w:val="false"/>
                <w:color w:val="000000"/>
              </w:rPr>
              <w:t xml:space="preserve">Starting point</w:t>
            </w:r>
          </w:p>
        </w:tc>
        <w:tc>
          <w:tcPr>
            <w:tcW w:type="dxa" w:w="3200"/>
            <w:tcMar>
              <w:top w:type="dxa" w:w="80"/>
              <w:left w:type="dxa" w:w="100"/>
              <w:bottom w:type="dxa" w:w="80"/>
              <w:right w:type="dxa" w:w="100"/>
            </w:tcMar>
          </w:tcPr>
          <w:p>
            <w:r>
              <w:rPr>
                <w:b w:val="false"/>
                <w:bCs w:val="false"/>
                <w:color w:val="000000"/>
              </w:rPr>
              <w:t xml:space="preserve">Pretrained baseline checkpoint (not trained from scratch)</w:t>
            </w:r>
          </w:p>
        </w:tc>
      </w:tr>
      <w:tr>
        <w:tc>
          <w:tcPr>
            <w:tcW w:type="dxa" w:w="3200"/>
            <w:shd w:fill="F2F2F2" w:val="clear"/>
            <w:tcMar>
              <w:top w:type="dxa" w:w="80"/>
              <w:left w:type="dxa" w:w="100"/>
              <w:bottom w:type="dxa" w:w="80"/>
              <w:right w:type="dxa" w:w="100"/>
            </w:tcMar>
          </w:tcPr>
          <w:p>
            <w:r>
              <w:rPr>
                <w:b w:val="false"/>
                <w:bCs w:val="false"/>
                <w:color w:val="000000"/>
              </w:rPr>
              <w:t xml:space="preserve">Training length</w:t>
            </w:r>
          </w:p>
        </w:tc>
        <w:tc>
          <w:tcPr>
            <w:tcW w:type="dxa" w:w="3200"/>
            <w:shd w:fill="F2F2F2" w:val="clear"/>
            <w:tcMar>
              <w:top w:type="dxa" w:w="80"/>
              <w:left w:type="dxa" w:w="100"/>
              <w:bottom w:type="dxa" w:w="80"/>
              <w:right w:type="dxa" w:w="100"/>
            </w:tcMar>
          </w:tcPr>
          <w:p>
            <w:r>
              <w:rPr>
                <w:b w:val="false"/>
                <w:bCs w:val="false"/>
                <w:color w:val="000000"/>
              </w:rPr>
              <w:t xml:space="preserve">1,000 iterations, lower learning rate than pretraining</w:t>
            </w:r>
          </w:p>
        </w:tc>
      </w:tr>
      <w:tr>
        <w:tc>
          <w:tcPr>
            <w:tcW w:type="dxa" w:w="3200"/>
            <w:tcMar>
              <w:top w:type="dxa" w:w="80"/>
              <w:left w:type="dxa" w:w="100"/>
              <w:bottom w:type="dxa" w:w="80"/>
              <w:right w:type="dxa" w:w="100"/>
            </w:tcMar>
          </w:tcPr>
          <w:p>
            <w:r>
              <w:rPr>
                <w:b w:val="false"/>
                <w:bCs w:val="false"/>
                <w:color w:val="000000"/>
              </w:rPr>
              <w:t xml:space="preserve">Total fine-tuning time (CPU)</w:t>
            </w:r>
          </w:p>
        </w:tc>
        <w:tc>
          <w:tcPr>
            <w:tcW w:type="dxa" w:w="3200"/>
            <w:tcMar>
              <w:top w:type="dxa" w:w="80"/>
              <w:left w:type="dxa" w:w="100"/>
              <w:bottom w:type="dxa" w:w="80"/>
              <w:right w:type="dxa" w:w="100"/>
            </w:tcMar>
          </w:tcPr>
          <w:p>
            <w:r>
              <w:rPr>
                <w:b w:val="false"/>
                <w:bCs w:val="false"/>
                <w:color w:val="000000"/>
              </w:rPr>
              <w:t xml:space="preserve">~669 seconds (~11 minutes)</w:t>
            </w:r>
          </w:p>
        </w:tc>
      </w:tr>
      <w:tr>
        <w:tc>
          <w:tcPr>
            <w:tcW w:type="dxa" w:w="3200"/>
            <w:shd w:fill="F2F2F2" w:val="clear"/>
            <w:tcMar>
              <w:top w:type="dxa" w:w="80"/>
              <w:left w:type="dxa" w:w="100"/>
              <w:bottom w:type="dxa" w:w="80"/>
              <w:right w:type="dxa" w:w="100"/>
            </w:tcMar>
          </w:tcPr>
          <w:p>
            <w:r>
              <w:rPr>
                <w:b w:val="false"/>
                <w:bCs w:val="false"/>
                <w:color w:val="000000"/>
              </w:rPr>
              <w:t xml:space="preserve">Final validation loss / perplexity</w:t>
            </w:r>
          </w:p>
        </w:tc>
        <w:tc>
          <w:tcPr>
            <w:tcW w:type="dxa" w:w="3200"/>
            <w:shd w:fill="F2F2F2" w:val="clear"/>
            <w:tcMar>
              <w:top w:type="dxa" w:w="80"/>
              <w:left w:type="dxa" w:w="100"/>
              <w:bottom w:type="dxa" w:w="80"/>
              <w:right w:type="dxa" w:w="100"/>
            </w:tcMar>
          </w:tcPr>
          <w:p>
            <w:r>
              <w:rPr>
                <w:b w:val="false"/>
                <w:bCs w:val="false"/>
                <w:color w:val="000000"/>
              </w:rPr>
              <w:t xml:space="preserve">0.93 / 2.53</w:t>
            </w:r>
          </w:p>
        </w:tc>
      </w:tr>
    </w:tbl>
    <w:p>
      <w:pPr>
        <w:spacing w:after="160"/>
      </w:pPr>
      <w:r>
        <w:t xml:space="preserve">The very low perplexity here (2.53, versus 9–12 for the pretraining runs) needed a sanity check rather than being taken as “the model is now much smarter” — it partly reflects a small, repetitive, heavily-templated dataset being far more predictable than open-ended prose.</w:t>
      </w:r>
    </w:p>
    <w:p>
      <w:pPr>
        <w:pStyle w:val="Heading3"/>
        <w:spacing w:after="100" w:before="200"/>
      </w:pPr>
      <w:r>
        <w:t xml:space="preserve">Held-Out Evaluation — The Real Test</w:t>
      </w:r>
    </w:p>
    <w:p>
      <w:pPr>
        <w:spacing w:after="160"/>
      </w:pPr>
      <w:r>
        <w:t xml:space="preserve">The model was tested on instructions not present anywhere in the 150 training examples, and compared directly against the un-fine-tuned base model given the identical instruction:</w:t>
      </w:r>
    </w:p>
    <w:p>
      <w:pPr>
        <w:pStyle w:val="ListParagraph"/>
        <w:numPr>
          <w:ilvl w:val="0"/>
          <w:numId w:val="2"/>
        </w:numPr>
        <w:spacing w:after="80"/>
      </w:pPr>
      <w:r>
        <w:t xml:space="preserve">Base model behavior: treats the instruction as plain text to continue, echoing the prompt and free-associating (e.g. given “write a short speech about courage,” it continues that literal sentence rather than producing a speech).</w:t>
      </w:r>
    </w:p>
    <w:p>
      <w:pPr>
        <w:pStyle w:val="ListParagraph"/>
        <w:numPr>
          <w:ilvl w:val="0"/>
          <w:numId w:val="2"/>
        </w:numPr>
        <w:spacing w:after="80"/>
      </w:pPr>
      <w:r>
        <w:t xml:space="preserve">SFT model behavior: consistently responds in structured character-dialogue format (e.g. “KENT: Come, my lord...”) — it learned the shape of a response, not just more text continuation.</w:t>
      </w:r>
    </w:p>
    <w:p>
      <w:pPr>
        <w:pStyle w:val="ListParagraph"/>
        <w:numPr>
          <w:ilvl w:val="0"/>
          <w:numId w:val="2"/>
        </w:numPr>
        <w:spacing w:after="80"/>
      </w:pPr>
      <w:r>
        <w:t xml:space="preserve">Limitation, stated honestly: the SFT model reuses high-frequency phrases from its small training set rather than generating truly novel content on abstract topics like “honor” or “courage.” This is format alignment, not deep semantic generalization.</w:t>
      </w:r>
    </w:p>
    <w:p>
      <w:pPr>
        <w:pBdr>
          <w:left w:val="single" w:color="0F7C7C" w:sz="18" w:space="8"/>
        </w:pBdr>
        <w:spacing w:after="200" w:before="120"/>
        <w:ind w:left="200"/>
      </w:pPr>
      <w:r>
        <w:rPr>
          <w:i/>
          <w:iCs/>
          <w:color w:val="444444"/>
        </w:rPr>
        <w:t xml:space="preserve">MUST-SAY DISTINCTION: “My fine-tuned model learned to structurally respond to instructions instead of ignoring them — but it didn't learn deep semantic understanding of abstract concepts, because 150 examples and under a million parameters simply isn't enough capacity or data for that. This is the real, well-documented distinction in the literature between format alignment and true generalization in instruction tuning — I observed it directly at small scale.”</w:t>
      </w:r>
    </w:p>
    <w:p>
      <w:pPr>
        <w:pStyle w:val="Heading1"/>
        <w:spacing w:after="200" w:before="400"/>
      </w:pPr>
      <w:r>
        <w:t xml:space="preserve">5. Key Technical Decisions and Rationale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2400"/>
      </w:tblGrid>
      <w:tr>
        <w:tc>
          <w:tcPr>
            <w:tcW w:type="dxa" w:w="2400"/>
            <w:shd w:fill="1B2A4A" w:val="clear"/>
            <w:tcMar>
              <w:top w:type="dxa" w:w="80"/>
              <w:left w:type="dxa" w:w="100"/>
              <w:bottom w:type="dxa" w:w="80"/>
              <w:right w:type="dxa" w:w="100"/>
            </w:tcMar>
          </w:tcPr>
          <w:p>
            <w:r>
              <w:rPr>
                <w:b/>
                <w:bCs/>
                <w:color w:val="FFFFFF"/>
              </w:rPr>
              <w:t xml:space="preserve">Decision</w:t>
            </w:r>
          </w:p>
        </w:tc>
        <w:tc>
          <w:tcPr>
            <w:tcW w:type="dxa" w:w="3300"/>
            <w:shd w:fill="1B2A4A" w:val="clear"/>
            <w:tcMar>
              <w:top w:type="dxa" w:w="80"/>
              <w:left w:type="dxa" w:w="100"/>
              <w:bottom w:type="dxa" w:w="80"/>
              <w:right w:type="dxa" w:w="100"/>
            </w:tcMar>
          </w:tcPr>
          <w:p>
            <w:r>
              <w:rPr>
                <w:b/>
                <w:bCs/>
                <w:color w:val="FFFFFF"/>
              </w:rPr>
              <w:t xml:space="preserve">Why This Was Chosen</w:t>
            </w:r>
          </w:p>
        </w:tc>
        <w:tc>
          <w:tcPr>
            <w:tcW w:type="dxa" w:w="2400"/>
            <w:shd w:fill="1B2A4A" w:val="clear"/>
            <w:tcMar>
              <w:top w:type="dxa" w:w="80"/>
              <w:left w:type="dxa" w:w="100"/>
              <w:bottom w:type="dxa" w:w="80"/>
              <w:right w:type="dxa" w:w="100"/>
            </w:tcMar>
          </w:tcPr>
          <w:p>
            <w:r>
              <w:rPr>
                <w:b/>
                <w:bCs/>
                <w:color w:val="FFFFFF"/>
              </w:rPr>
              <w:t xml:space="preserve">Alternative Considered</w:t>
            </w:r>
          </w:p>
        </w:tc>
      </w:tr>
      <w:tr>
        <w:tc>
          <w:tcPr>
            <w:tcW w:type="dxa" w:w="2400"/>
            <w:tcMar>
              <w:top w:type="dxa" w:w="80"/>
              <w:left w:type="dxa" w:w="100"/>
              <w:bottom w:type="dxa" w:w="80"/>
              <w:right w:type="dxa" w:w="100"/>
            </w:tcMar>
          </w:tcPr>
          <w:p>
            <w:r>
              <w:rPr>
                <w:b w:val="false"/>
                <w:bCs w:val="false"/>
                <w:color w:val="000000"/>
              </w:rPr>
              <w:t xml:space="preserve">Byte-Pair Encoding tokenizer, built from scratch</w:t>
            </w:r>
          </w:p>
        </w:tc>
        <w:tc>
          <w:tcPr>
            <w:tcW w:type="dxa" w:w="3300"/>
            <w:tcMar>
              <w:top w:type="dxa" w:w="80"/>
              <w:left w:type="dxa" w:w="100"/>
              <w:bottom w:type="dxa" w:w="80"/>
              <w:right w:type="dxa" w:w="100"/>
            </w:tcMar>
          </w:tcPr>
          <w:p>
            <w:r>
              <w:rPr>
                <w:b w:val="false"/>
                <w:bCs w:val="false"/>
                <w:color w:val="000000"/>
              </w:rPr>
              <w:t xml:space="preserve">Balances sequence length and vocabulary size; avoids importing a pretrained vocabulary, which would defeat the “from scratch” purpose</w:t>
            </w:r>
          </w:p>
        </w:tc>
        <w:tc>
          <w:tcPr>
            <w:tcW w:type="dxa" w:w="2400"/>
            <w:tcMar>
              <w:top w:type="dxa" w:w="80"/>
              <w:left w:type="dxa" w:w="100"/>
              <w:bottom w:type="dxa" w:w="80"/>
              <w:right w:type="dxa" w:w="100"/>
            </w:tcMar>
          </w:tcPr>
          <w:p>
            <w:r>
              <w:rPr>
                <w:b w:val="false"/>
                <w:bCs w:val="false"/>
                <w:color w:val="000000"/>
              </w:rPr>
              <w:t xml:space="preserve">Word-level (too large a vocabulary for this corpus size) or pure character-level (much longer sequences, slower training)</w:t>
            </w:r>
          </w:p>
        </w:tc>
      </w:tr>
      <w:tr>
        <w:tc>
          <w:tcPr>
            <w:tcW w:type="dxa" w:w="2400"/>
            <w:shd w:fill="F2F2F2" w:val="clear"/>
            <w:tcMar>
              <w:top w:type="dxa" w:w="80"/>
              <w:left w:type="dxa" w:w="100"/>
              <w:bottom w:type="dxa" w:w="80"/>
              <w:right w:type="dxa" w:w="100"/>
            </w:tcMar>
          </w:tcPr>
          <w:p>
            <w:r>
              <w:rPr>
                <w:b w:val="false"/>
                <w:bCs w:val="false"/>
                <w:color w:val="000000"/>
              </w:rPr>
              <w:t xml:space="preserve">Pre-layer-norm transformer blocks</w:t>
            </w:r>
          </w:p>
        </w:tc>
        <w:tc>
          <w:tcPr>
            <w:tcW w:type="dxa" w:w="3300"/>
            <w:shd w:fill="F2F2F2" w:val="clear"/>
            <w:tcMar>
              <w:top w:type="dxa" w:w="80"/>
              <w:left w:type="dxa" w:w="100"/>
              <w:bottom w:type="dxa" w:w="80"/>
              <w:right w:type="dxa" w:w="100"/>
            </w:tcMar>
          </w:tcPr>
          <w:p>
            <w:r>
              <w:rPr>
                <w:b w:val="false"/>
                <w:bCs w:val="false"/>
                <w:color w:val="000000"/>
              </w:rPr>
              <w:t xml:space="preserve">More stable gradients through a deep stack; easier to train without extremely careful learning-rate tuning</w:t>
            </w:r>
          </w:p>
        </w:tc>
        <w:tc>
          <w:tcPr>
            <w:tcW w:type="dxa" w:w="2400"/>
            <w:shd w:fill="F2F2F2" w:val="clear"/>
            <w:tcMar>
              <w:top w:type="dxa" w:w="80"/>
              <w:left w:type="dxa" w:w="100"/>
              <w:bottom w:type="dxa" w:w="80"/>
              <w:right w:type="dxa" w:w="100"/>
            </w:tcMar>
          </w:tcPr>
          <w:p>
            <w:r>
              <w:rPr>
                <w:b w:val="false"/>
                <w:bCs w:val="false"/>
                <w:color w:val="000000"/>
              </w:rPr>
              <w:t xml:space="preserve">Post-layer-norm (original 2017 Transformer design) — harder to train stably at this experimentation pace</w:t>
            </w:r>
          </w:p>
        </w:tc>
      </w:tr>
      <w:tr>
        <w:tc>
          <w:tcPr>
            <w:tcW w:type="dxa" w:w="2400"/>
            <w:tcMar>
              <w:top w:type="dxa" w:w="80"/>
              <w:left w:type="dxa" w:w="100"/>
              <w:bottom w:type="dxa" w:w="80"/>
              <w:right w:type="dxa" w:w="100"/>
            </w:tcMar>
          </w:tcPr>
          <w:p>
            <w:r>
              <w:rPr>
                <w:b w:val="false"/>
                <w:bCs w:val="false"/>
                <w:color w:val="000000"/>
              </w:rPr>
              <w:t xml:space="preserve">Weight tying (embedding = output head)</w:t>
            </w:r>
          </w:p>
        </w:tc>
        <w:tc>
          <w:tcPr>
            <w:tcW w:type="dxa" w:w="3300"/>
            <w:tcMar>
              <w:top w:type="dxa" w:w="80"/>
              <w:left w:type="dxa" w:w="100"/>
              <w:bottom w:type="dxa" w:w="80"/>
              <w:right w:type="dxa" w:w="100"/>
            </w:tcMar>
          </w:tcPr>
          <w:p>
            <w:r>
              <w:rPr>
                <w:b w:val="false"/>
                <w:bCs w:val="false"/>
                <w:color w:val="000000"/>
              </w:rPr>
              <w:t xml:space="preserve">Reduces parameter count meaningfully on a small model; empirically helps quality when input/output vocab spaces are identical</w:t>
            </w:r>
          </w:p>
        </w:tc>
        <w:tc>
          <w:tcPr>
            <w:tcW w:type="dxa" w:w="2400"/>
            <w:tcMar>
              <w:top w:type="dxa" w:w="80"/>
              <w:left w:type="dxa" w:w="100"/>
              <w:bottom w:type="dxa" w:w="80"/>
              <w:right w:type="dxa" w:w="100"/>
            </w:tcMar>
          </w:tcPr>
          <w:p>
            <w:r>
              <w:rPr>
                <w:b w:val="false"/>
                <w:bCs w:val="false"/>
                <w:color w:val="000000"/>
              </w:rPr>
              <w:t xml:space="preserve">Separate untied output projection — more parameters for no clear benefit at this scale</w:t>
            </w:r>
          </w:p>
        </w:tc>
      </w:tr>
      <w:tr>
        <w:tc>
          <w:tcPr>
            <w:tcW w:type="dxa" w:w="2400"/>
            <w:shd w:fill="F2F2F2" w:val="clear"/>
            <w:tcMar>
              <w:top w:type="dxa" w:w="80"/>
              <w:left w:type="dxa" w:w="100"/>
              <w:bottom w:type="dxa" w:w="80"/>
              <w:right w:type="dxa" w:w="100"/>
            </w:tcMar>
          </w:tcPr>
          <w:p>
            <w:r>
              <w:rPr>
                <w:b w:val="false"/>
                <w:bCs w:val="false"/>
                <w:color w:val="000000"/>
              </w:rPr>
              <w:t xml:space="preserve">CPU-only training (no GPU)</w:t>
            </w:r>
          </w:p>
        </w:tc>
        <w:tc>
          <w:tcPr>
            <w:tcW w:type="dxa" w:w="3300"/>
            <w:shd w:fill="F2F2F2" w:val="clear"/>
            <w:tcMar>
              <w:top w:type="dxa" w:w="80"/>
              <w:left w:type="dxa" w:w="100"/>
              <w:bottom w:type="dxa" w:w="80"/>
              <w:right w:type="dxa" w:w="100"/>
            </w:tcMar>
          </w:tcPr>
          <w:p>
            <w:r>
              <w:rPr>
                <w:b w:val="false"/>
                <w:bCs w:val="false"/>
                <w:color w:val="000000"/>
              </w:rPr>
              <w:t xml:space="preserve">Matches the available hardware; model and corpus were deliberately kept small enough that CPU training was feasible in hours, not days</w:t>
            </w:r>
          </w:p>
        </w:tc>
        <w:tc>
          <w:tcPr>
            <w:tcW w:type="dxa" w:w="2400"/>
            <w:shd w:fill="F2F2F2" w:val="clear"/>
            <w:tcMar>
              <w:top w:type="dxa" w:w="80"/>
              <w:left w:type="dxa" w:w="100"/>
              <w:bottom w:type="dxa" w:w="80"/>
              <w:right w:type="dxa" w:w="100"/>
            </w:tcMar>
          </w:tcPr>
          <w:p>
            <w:r>
              <w:rPr>
                <w:b w:val="false"/>
                <w:bCs w:val="false"/>
                <w:color w:val="000000"/>
              </w:rPr>
              <w:t xml:space="preserve">Cloud GPU rental — would have sped up training significantly but added cost/complexity outside project scope</w:t>
            </w:r>
          </w:p>
        </w:tc>
      </w:tr>
      <w:tr>
        <w:tc>
          <w:tcPr>
            <w:tcW w:type="dxa" w:w="2400"/>
            <w:tcMar>
              <w:top w:type="dxa" w:w="80"/>
              <w:left w:type="dxa" w:w="100"/>
              <w:bottom w:type="dxa" w:w="80"/>
              <w:right w:type="dxa" w:w="100"/>
            </w:tcMar>
          </w:tcPr>
          <w:p>
            <w:r>
              <w:rPr>
                <w:b w:val="false"/>
                <w:bCs w:val="false"/>
                <w:color w:val="000000"/>
              </w:rPr>
              <w:t xml:space="preserve">Removing the RAG/OpenAI-dependent app entirely</w:t>
            </w:r>
          </w:p>
        </w:tc>
        <w:tc>
          <w:tcPr>
            <w:tcW w:type="dxa" w:w="3300"/>
            <w:tcMar>
              <w:top w:type="dxa" w:w="80"/>
              <w:left w:type="dxa" w:w="100"/>
              <w:bottom w:type="dxa" w:w="80"/>
              <w:right w:type="dxa" w:w="100"/>
            </w:tcMar>
          </w:tcPr>
          <w:p>
            <w:r>
              <w:rPr>
                <w:b w:val="false"/>
                <w:bCs w:val="false"/>
                <w:color w:val="000000"/>
              </w:rPr>
              <w:t xml:space="preserve">A silent fallback bug undermined the entire evaluation's integrity; removing the dependency removes the entire class of failure, not just this instance</w:t>
            </w:r>
          </w:p>
        </w:tc>
        <w:tc>
          <w:tcPr>
            <w:tcW w:type="dxa" w:w="2400"/>
            <w:tcMar>
              <w:top w:type="dxa" w:w="80"/>
              <w:left w:type="dxa" w:w="100"/>
              <w:bottom w:type="dxa" w:w="80"/>
              <w:right w:type="dxa" w:w="100"/>
            </w:tcMar>
          </w:tcPr>
          <w:p>
            <w:r>
              <w:rPr>
                <w:b w:val="false"/>
                <w:bCs w:val="false"/>
                <w:color w:val="000000"/>
              </w:rPr>
              <w:t xml:space="preserve">Patch the fallback bug and keep the API dependency — rejected because it doesn't address the deeper 'own zero external dependencies' project goal</w:t>
            </w:r>
          </w:p>
        </w:tc>
      </w:tr>
      <w:tr>
        <w:tc>
          <w:tcPr>
            <w:tcW w:type="dxa" w:w="2400"/>
            <w:shd w:fill="F2F2F2" w:val="clear"/>
            <w:tcMar>
              <w:top w:type="dxa" w:w="80"/>
              <w:left w:type="dxa" w:w="100"/>
              <w:bottom w:type="dxa" w:w="80"/>
              <w:right w:type="dxa" w:w="100"/>
            </w:tcMar>
          </w:tcPr>
          <w:p>
            <w:r>
              <w:rPr>
                <w:b w:val="false"/>
                <w:bCs w:val="false"/>
                <w:color w:val="000000"/>
              </w:rPr>
              <w:t xml:space="preserve">React + FastAPI (not Streamlit) for the UI</w:t>
            </w:r>
          </w:p>
        </w:tc>
        <w:tc>
          <w:tcPr>
            <w:tcW w:type="dxa" w:w="3300"/>
            <w:shd w:fill="F2F2F2" w:val="clear"/>
            <w:tcMar>
              <w:top w:type="dxa" w:w="80"/>
              <w:left w:type="dxa" w:w="100"/>
              <w:bottom w:type="dxa" w:w="80"/>
              <w:right w:type="dxa" w:w="100"/>
            </w:tcMar>
          </w:tcPr>
          <w:p>
            <w:r>
              <w:rPr>
                <w:b w:val="false"/>
                <w:bCs w:val="false"/>
                <w:color w:val="000000"/>
              </w:rPr>
              <w:t xml:space="preserve">Demonstrates full-stack/web development skill alongside the ML work; more customizable, animated, and professional-looking for a portfolio</w:t>
            </w:r>
          </w:p>
        </w:tc>
        <w:tc>
          <w:tcPr>
            <w:tcW w:type="dxa" w:w="2400"/>
            <w:shd w:fill="F2F2F2" w:val="clear"/>
            <w:tcMar>
              <w:top w:type="dxa" w:w="80"/>
              <w:left w:type="dxa" w:w="100"/>
              <w:bottom w:type="dxa" w:w="80"/>
              <w:right w:type="dxa" w:w="100"/>
            </w:tcMar>
          </w:tcPr>
          <w:p>
            <w:r>
              <w:rPr>
                <w:b w:val="false"/>
                <w:bCs w:val="false"/>
                <w:color w:val="000000"/>
              </w:rPr>
              <w:t xml:space="preserve">Streamlit — faster to build initially, but less differentiated and less demonstrative of frontend skill</w:t>
            </w:r>
          </w:p>
        </w:tc>
      </w:tr>
    </w:tbl>
    <w:p>
      <w:pPr>
        <w:pStyle w:val="Heading1"/>
        <w:spacing w:after="200" w:before="400"/>
      </w:pPr>
      <w:r>
        <w:t xml:space="preserve">6. Difficulties Encountered and How They Were Solved</w:t>
      </w:r>
    </w:p>
    <w:p>
      <w:pPr>
        <w:spacing w:after="160"/>
      </w:pPr>
      <w:r>
        <w:t xml:space="preserve">This section is the most valuable one for interviews — debugging stories demonstrate real engineering skill far better than a smooth, uneventful build ever could.</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tblGrid>
      <w:tr>
        <w:tc>
          <w:tcPr>
            <w:tcW w:type="dxa" w:w="1900"/>
            <w:shd w:fill="1B2A4A" w:val="clear"/>
            <w:tcMar>
              <w:top w:type="dxa" w:w="80"/>
              <w:left w:type="dxa" w:w="100"/>
              <w:bottom w:type="dxa" w:w="80"/>
              <w:right w:type="dxa" w:w="100"/>
            </w:tcMar>
          </w:tcPr>
          <w:p>
            <w:r>
              <w:rPr>
                <w:b/>
                <w:bCs/>
                <w:color w:val="FFFFFF"/>
              </w:rPr>
              <w:t xml:space="preserve">Problem</w:t>
            </w:r>
          </w:p>
        </w:tc>
        <w:tc>
          <w:tcPr>
            <w:tcW w:type="dxa" w:w="2600"/>
            <w:shd w:fill="1B2A4A" w:val="clear"/>
            <w:tcMar>
              <w:top w:type="dxa" w:w="80"/>
              <w:left w:type="dxa" w:w="100"/>
              <w:bottom w:type="dxa" w:w="80"/>
              <w:right w:type="dxa" w:w="100"/>
            </w:tcMar>
          </w:tcPr>
          <w:p>
            <w:r>
              <w:rPr>
                <w:b/>
                <w:bCs/>
                <w:color w:val="FFFFFF"/>
              </w:rPr>
              <w:t xml:space="preserve">Root Cause</w:t>
            </w:r>
          </w:p>
        </w:tc>
        <w:tc>
          <w:tcPr>
            <w:tcW w:type="dxa" w:w="2600"/>
            <w:shd w:fill="1B2A4A" w:val="clear"/>
            <w:tcMar>
              <w:top w:type="dxa" w:w="80"/>
              <w:left w:type="dxa" w:w="100"/>
              <w:bottom w:type="dxa" w:w="80"/>
              <w:right w:type="dxa" w:w="100"/>
            </w:tcMar>
          </w:tcPr>
          <w:p>
            <w:r>
              <w:rPr>
                <w:b/>
                <w:bCs/>
                <w:color w:val="FFFFFF"/>
              </w:rPr>
              <w:t xml:space="preserve">Resolution</w:t>
            </w:r>
          </w:p>
        </w:tc>
      </w:tr>
      <w:tr>
        <w:tc>
          <w:tcPr>
            <w:tcW w:type="dxa" w:w="1900"/>
            <w:tcMar>
              <w:top w:type="dxa" w:w="80"/>
              <w:left w:type="dxa" w:w="100"/>
              <w:bottom w:type="dxa" w:w="80"/>
              <w:right w:type="dxa" w:w="100"/>
            </w:tcMar>
          </w:tcPr>
          <w:p>
            <w:r>
              <w:rPr>
                <w:b w:val="false"/>
                <w:bCs w:val="false"/>
                <w:color w:val="000000"/>
              </w:rPr>
              <w:t xml:space="preserve">RAG app showed a suspicious 100% retrieval precision</w:t>
            </w:r>
          </w:p>
        </w:tc>
        <w:tc>
          <w:tcPr>
            <w:tcW w:type="dxa" w:w="2600"/>
            <w:tcMar>
              <w:top w:type="dxa" w:w="80"/>
              <w:left w:type="dxa" w:w="100"/>
              <w:bottom w:type="dxa" w:w="80"/>
              <w:right w:type="dxa" w:w="100"/>
            </w:tcMar>
          </w:tcPr>
          <w:p>
            <w:r>
              <w:rPr>
                <w:b w:val="false"/>
                <w:bCs w:val="false"/>
                <w:color w:val="000000"/>
              </w:rPr>
              <w:t xml:space="preserve">The embedder silently fell back to a deterministic keyword-hash function whenever the OpenAI API key was a placeholder, instead of raising an error</w:t>
            </w:r>
          </w:p>
        </w:tc>
        <w:tc>
          <w:tcPr>
            <w:tcW w:type="dxa" w:w="2600"/>
            <w:tcMar>
              <w:top w:type="dxa" w:w="80"/>
              <w:left w:type="dxa" w:w="100"/>
              <w:bottom w:type="dxa" w:w="80"/>
              <w:right w:type="dxa" w:w="100"/>
            </w:tcMar>
          </w:tcPr>
          <w:p>
            <w:r>
              <w:rPr>
                <w:b w:val="false"/>
                <w:bCs w:val="false"/>
                <w:color w:val="000000"/>
              </w:rPr>
              <w:t xml:space="preserve">Root-caused via targeted debug logging comparing offline eval vs. live endpoint; the fallback logic was removed entirely rather than patched, and failures were made to surface explicitly instead of faking success</w:t>
            </w:r>
          </w:p>
        </w:tc>
      </w:tr>
      <w:tr>
        <w:tc>
          <w:tcPr>
            <w:tcW w:type="dxa" w:w="1900"/>
            <w:shd w:fill="F2F2F2" w:val="clear"/>
            <w:tcMar>
              <w:top w:type="dxa" w:w="80"/>
              <w:left w:type="dxa" w:w="100"/>
              <w:bottom w:type="dxa" w:w="80"/>
              <w:right w:type="dxa" w:w="100"/>
            </w:tcMar>
          </w:tcPr>
          <w:p>
            <w:r>
              <w:rPr>
                <w:b w:val="false"/>
                <w:bCs w:val="false"/>
                <w:color w:val="000000"/>
              </w:rPr>
              <w:t xml:space="preserve">Generated text degenerated into repetition loops (“what what what...”)</w:t>
            </w:r>
          </w:p>
        </w:tc>
        <w:tc>
          <w:tcPr>
            <w:tcW w:type="dxa" w:w="2600"/>
            <w:shd w:fill="F2F2F2" w:val="clear"/>
            <w:tcMar>
              <w:top w:type="dxa" w:w="80"/>
              <w:left w:type="dxa" w:w="100"/>
              <w:bottom w:type="dxa" w:w="80"/>
              <w:right w:type="dxa" w:w="100"/>
            </w:tcMar>
          </w:tcPr>
          <w:p>
            <w:r>
              <w:rPr>
                <w:b w:val="false"/>
                <w:bCs w:val="false"/>
                <w:color w:val="000000"/>
              </w:rPr>
              <w:t xml:space="preserve">Expected behavior for small/undertrained models under greedy decoding — not a bug at all initially</w:t>
            </w:r>
          </w:p>
        </w:tc>
        <w:tc>
          <w:tcPr>
            <w:tcW w:type="dxa" w:w="2600"/>
            <w:shd w:fill="F2F2F2" w:val="clear"/>
            <w:tcMar>
              <w:top w:type="dxa" w:w="80"/>
              <w:left w:type="dxa" w:w="100"/>
              <w:bottom w:type="dxa" w:w="80"/>
              <w:right w:type="dxa" w:w="100"/>
            </w:tcMar>
          </w:tcPr>
          <w:p>
            <w:r>
              <w:rPr>
                <w:b w:val="false"/>
                <w:bCs w:val="false"/>
                <w:color w:val="000000"/>
              </w:rPr>
              <w:t xml:space="preserve">Addressed via a repetition penalty; when the penalty window (20 tokens) proved too short to cover a full multi-line dialogue block (~22 tokens), it was widened to 100 tokens with a stronger 1.3x penalty, which eliminated the loops entirely</w:t>
            </w:r>
          </w:p>
        </w:tc>
      </w:tr>
      <w:tr>
        <w:tc>
          <w:tcPr>
            <w:tcW w:type="dxa" w:w="1900"/>
            <w:tcMar>
              <w:top w:type="dxa" w:w="80"/>
              <w:left w:type="dxa" w:w="100"/>
              <w:bottom w:type="dxa" w:w="80"/>
              <w:right w:type="dxa" w:w="100"/>
            </w:tcMar>
          </w:tcPr>
          <w:p>
            <w:r>
              <w:rPr>
                <w:b w:val="false"/>
                <w:bCs w:val="false"/>
                <w:color w:val="000000"/>
              </w:rPr>
              <w:t xml:space="preserve">Corpus was expanded and tokenizer retrained, but generation quality did not improve</w:t>
            </w:r>
          </w:p>
        </w:tc>
        <w:tc>
          <w:tcPr>
            <w:tcW w:type="dxa" w:w="2600"/>
            <w:tcMar>
              <w:top w:type="dxa" w:w="80"/>
              <w:left w:type="dxa" w:w="100"/>
              <w:bottom w:type="dxa" w:w="80"/>
              <w:right w:type="dxa" w:w="100"/>
            </w:tcMar>
          </w:tcPr>
          <w:p>
            <w:r>
              <w:rPr>
                <w:b w:val="false"/>
                <w:bCs w:val="false"/>
                <w:color w:val="000000"/>
              </w:rPr>
              <w:t xml:space="preserve">The model checkpoint still held weights trained on the OLD tokenizer's vocabulary indices, while generation was decoding through the NEW tokenizer — an index mismatch, not a training failure</w:t>
            </w:r>
          </w:p>
        </w:tc>
        <w:tc>
          <w:tcPr>
            <w:tcW w:type="dxa" w:w="2600"/>
            <w:tcMar>
              <w:top w:type="dxa" w:w="80"/>
              <w:left w:type="dxa" w:w="100"/>
              <w:bottom w:type="dxa" w:w="80"/>
              <w:right w:type="dxa" w:w="100"/>
            </w:tcMar>
          </w:tcPr>
          <w:p>
            <w:r>
              <w:rPr>
                <w:b w:val="false"/>
                <w:bCs w:val="false"/>
                <w:color w:val="000000"/>
              </w:rPr>
              <w:t xml:space="preserve">Diagnosed by comparing file modification timestamps of the checkpoint versus the tokenizer; fixed by deleting stale checkpoints before any retraining on new data/vocabulary</w:t>
            </w:r>
          </w:p>
        </w:tc>
      </w:tr>
      <w:tr>
        <w:tc>
          <w:tcPr>
            <w:tcW w:type="dxa" w:w="1900"/>
            <w:shd w:fill="F2F2F2" w:val="clear"/>
            <w:tcMar>
              <w:top w:type="dxa" w:w="80"/>
              <w:left w:type="dxa" w:w="100"/>
              <w:bottom w:type="dxa" w:w="80"/>
              <w:right w:type="dxa" w:w="100"/>
            </w:tcMar>
          </w:tcPr>
          <w:p>
            <w:r>
              <w:rPr>
                <w:b w:val="false"/>
                <w:bCs w:val="false"/>
                <w:color w:val="000000"/>
              </w:rPr>
              <w:t xml:space="preserve">A resumed training run appeared stuck, repeatedly re-logging the same step number</w:t>
            </w:r>
          </w:p>
        </w:tc>
        <w:tc>
          <w:tcPr>
            <w:tcW w:type="dxa" w:w="2600"/>
            <w:shd w:fill="F2F2F2" w:val="clear"/>
            <w:tcMar>
              <w:top w:type="dxa" w:w="80"/>
              <w:left w:type="dxa" w:w="100"/>
              <w:bottom w:type="dxa" w:w="80"/>
              <w:right w:type="dxa" w:w="100"/>
            </w:tcMar>
          </w:tcPr>
          <w:p>
            <w:r>
              <w:rPr>
                <w:b w:val="false"/>
                <w:bCs w:val="false"/>
                <w:color w:val="000000"/>
              </w:rPr>
              <w:t xml:space="preserve">A genuine bug in the --resume logic: the step counter was not correctly advancing past the loaded checkpoint's step before the training loop continued</w:t>
            </w:r>
          </w:p>
        </w:tc>
        <w:tc>
          <w:tcPr>
            <w:tcW w:type="dxa" w:w="2600"/>
            <w:shd w:fill="F2F2F2" w:val="clear"/>
            <w:tcMar>
              <w:top w:type="dxa" w:w="80"/>
              <w:left w:type="dxa" w:w="100"/>
              <w:bottom w:type="dxa" w:w="80"/>
              <w:right w:type="dxa" w:w="100"/>
            </w:tcMar>
          </w:tcPr>
          <w:p>
            <w:r>
              <w:rPr>
                <w:b w:val="false"/>
                <w:bCs w:val="false"/>
                <w:color w:val="000000"/>
              </w:rPr>
              <w:t xml:space="preserve">Traced through the training loop and eval-logging conditional; fixed the step-increment logic and added a regression test that specifically simulates a non-zero-step resume to prevent recurrence</w:t>
            </w:r>
          </w:p>
        </w:tc>
      </w:tr>
      <w:tr>
        <w:tc>
          <w:tcPr>
            <w:tcW w:type="dxa" w:w="1900"/>
            <w:tcMar>
              <w:top w:type="dxa" w:w="80"/>
              <w:left w:type="dxa" w:w="100"/>
              <w:bottom w:type="dxa" w:w="80"/>
              <w:right w:type="dxa" w:w="100"/>
            </w:tcMar>
          </w:tcPr>
          <w:p>
            <w:r>
              <w:rPr>
                <w:b w:val="false"/>
                <w:bCs w:val="false"/>
                <w:color w:val="000000"/>
              </w:rPr>
              <w:t xml:space="preserve">Background training processes died when the IDE window was closed, or silently duplicated across multiple launch attempts</w:t>
            </w:r>
          </w:p>
        </w:tc>
        <w:tc>
          <w:tcPr>
            <w:tcW w:type="dxa" w:w="2600"/>
            <w:tcMar>
              <w:top w:type="dxa" w:w="80"/>
              <w:left w:type="dxa" w:w="100"/>
              <w:bottom w:type="dxa" w:w="80"/>
              <w:right w:type="dxa" w:w="100"/>
            </w:tcMar>
          </w:tcPr>
          <w:p>
            <w:r>
              <w:rPr>
                <w:b w:val="false"/>
                <w:bCs w:val="false"/>
                <w:color w:val="000000"/>
              </w:rPr>
              <w:t xml:space="preserve">Various process-launch methods were not properly detached from the parent IDE/terminal session</w:t>
            </w:r>
          </w:p>
        </w:tc>
        <w:tc>
          <w:tcPr>
            <w:tcW w:type="dxa" w:w="2600"/>
            <w:tcMar>
              <w:top w:type="dxa" w:w="80"/>
              <w:left w:type="dxa" w:w="100"/>
              <w:bottom w:type="dxa" w:w="80"/>
              <w:right w:type="dxa" w:w="100"/>
            </w:tcMar>
          </w:tcPr>
          <w:p>
            <w:r>
              <w:rPr>
                <w:b w:val="false"/>
                <w:bCs w:val="false"/>
                <w:color w:val="000000"/>
              </w:rPr>
              <w:t xml:space="preserve">Verified via direct process inspection (PID and command-line checks) at each step rather than trusting reported status; settled on a properly detached daemon-style launcher script that survives the IDE closing</w:t>
            </w:r>
          </w:p>
        </w:tc>
      </w:tr>
      <w:tr>
        <w:tc>
          <w:tcPr>
            <w:tcW w:type="dxa" w:w="1900"/>
            <w:shd w:fill="F2F2F2" w:val="clear"/>
            <w:tcMar>
              <w:top w:type="dxa" w:w="80"/>
              <w:left w:type="dxa" w:w="100"/>
              <w:bottom w:type="dxa" w:w="80"/>
              <w:right w:type="dxa" w:w="100"/>
            </w:tcMar>
          </w:tcPr>
          <w:p>
            <w:r>
              <w:rPr>
                <w:b w:val="false"/>
                <w:bCs w:val="false"/>
                <w:color w:val="000000"/>
              </w:rPr>
              <w:t xml:space="preserve">Model responded to every prompt with generic continuation text regardless of what was asked</w:t>
            </w:r>
          </w:p>
        </w:tc>
        <w:tc>
          <w:tcPr>
            <w:tcW w:type="dxa" w:w="2600"/>
            <w:shd w:fill="F2F2F2" w:val="clear"/>
            <w:tcMar>
              <w:top w:type="dxa" w:w="80"/>
              <w:left w:type="dxa" w:w="100"/>
              <w:bottom w:type="dxa" w:w="80"/>
              <w:right w:type="dxa" w:w="100"/>
            </w:tcMar>
          </w:tcPr>
          <w:p>
            <w:r>
              <w:rPr>
                <w:b w:val="false"/>
                <w:bCs w:val="false"/>
                <w:color w:val="000000"/>
              </w:rPr>
              <w:t xml:space="preserve">This is expected behavior for a base (pretrained-only) language model — it has no concept of 'instructions,' only text continuation</w:t>
            </w:r>
          </w:p>
        </w:tc>
        <w:tc>
          <w:tcPr>
            <w:tcW w:type="dxa" w:w="2600"/>
            <w:shd w:fill="F2F2F2" w:val="clear"/>
            <w:tcMar>
              <w:top w:type="dxa" w:w="80"/>
              <w:left w:type="dxa" w:w="100"/>
              <w:bottom w:type="dxa" w:w="80"/>
              <w:right w:type="dxa" w:w="100"/>
            </w:tcMar>
          </w:tcPr>
          <w:p>
            <w:r>
              <w:rPr>
                <w:b w:val="false"/>
                <w:bCs w:val="false"/>
                <w:color w:val="000000"/>
              </w:rPr>
              <w:t xml:space="preserve">Understood as a fundamental base-model limitation, not a bug; addressed by adding a proper instruction fine-tuning (SFT) stage rather than trying to patch prompt-handling logic</w:t>
            </w:r>
          </w:p>
        </w:tc>
      </w:tr>
    </w:tbl>
    <w:p>
      <w:pPr>
        <w:pBdr>
          <w:left w:val="single" w:color="0F7C7C" w:sz="18" w:space="8"/>
        </w:pBdr>
        <w:spacing w:after="200" w:before="120"/>
        <w:ind w:left="200"/>
      </w:pPr>
      <w:r>
        <w:rPr>
          <w:i/>
          <w:iCs/>
          <w:color w:val="444444"/>
        </w:rPr>
        <w:t xml:space="preserve">MUST-SAY POINT ON DEBUGGING: “More than once, I had to verify a reported 'training complete' or 'fixed' status directly — checking file timestamps, process IDs, and raw log output — rather than trusting a summary. That habit of independently verifying claims, not just my own tools' claims, caught real bugs before they made it into results.”</w:t>
      </w:r>
    </w:p>
    <w:p>
      <w:pPr>
        <w:pStyle w:val="Heading1"/>
        <w:spacing w:after="200" w:before="400"/>
      </w:pPr>
      <w:r>
        <w:t xml:space="preserve">7. Hardware, Compute, and Performance</w:t>
      </w:r>
    </w:p>
    <w:p>
      <w:pPr>
        <w:pStyle w:val="Heading2"/>
        <w:spacing w:after="150" w:before="300"/>
      </w:pPr>
      <w:r>
        <w:t xml:space="preserve">7.1 Training Hardware</w:t>
      </w:r>
    </w:p>
    <w:p>
      <w:pPr>
        <w:spacing w:after="160"/>
      </w:pPr>
      <w:r>
        <w:t xml:space="preserve">All training ran on CPU — there was no CUDA-capable GPU available in this environment (confirmed directly via torch.cuda.is_available() returning False). Every matrix multiplication inside attention and the feedforward layers — the overwhelming majority of the compute — executed through CPU-optimized linear algebra libraries (MKL/OpenBLAS underneath PyTorch), using multiple CPU threads in parallel rather than a single core.</w:t>
      </w:r>
    </w:p>
    <w:p>
      <w:pPr>
        <w:pStyle w:val="ListParagraph"/>
        <w:numPr>
          <w:ilvl w:val="0"/>
          <w:numId w:val="2"/>
        </w:numPr>
        <w:spacing w:after="80"/>
      </w:pPr>
      <w:r>
        <w:t xml:space="preserve">Baseline (0.88M params): ~1.5 hours for 12,000 steps.</w:t>
      </w:r>
    </w:p>
    <w:p>
      <w:pPr>
        <w:pStyle w:val="ListParagraph"/>
        <w:numPr>
          <w:ilvl w:val="0"/>
          <w:numId w:val="2"/>
        </w:numPr>
        <w:spacing w:after="80"/>
      </w:pPr>
      <w:r>
        <w:t xml:space="preserve">Variant (3.32M params, 4x the embedding width): ~6.9 hours for the same number of steps — roughly 4.6x slower, consistent with attention and feedforward compute scaling closer to quadratically with embedding dimension.</w:t>
      </w:r>
    </w:p>
    <w:p>
      <w:pPr>
        <w:pStyle w:val="ListParagraph"/>
        <w:numPr>
          <w:ilvl w:val="0"/>
          <w:numId w:val="2"/>
        </w:numPr>
        <w:spacing w:after="80"/>
      </w:pPr>
      <w:r>
        <w:t xml:space="preserve">SFT fine-tuning (0.88M params, only 1,000 steps on a tiny dataset): ~11 minutes — dramatically faster, since fine-tuning needs far fewer steps than pretraining from scratch.</w:t>
      </w:r>
    </w:p>
    <w:p>
      <w:pPr>
        <w:pStyle w:val="ListParagraph"/>
        <w:numPr>
          <w:ilvl w:val="0"/>
          <w:numId w:val="2"/>
        </w:numPr>
        <w:spacing w:after="80"/>
      </w:pPr>
      <w:r>
        <w:t xml:space="preserve">Per-step timing was not perfectly uniform in practice — background OS activity and thread contention caused some 500-step blocks to take significantly longer than others, which was verified directly (not assumed) via process CPU-time sampling during long runs, to distinguish genuine progress from a stalled/hung process.</w:t>
      </w:r>
    </w:p>
    <w:p>
      <w:pPr>
        <w:pStyle w:val="Heading2"/>
        <w:spacing w:after="150" w:before="300"/>
      </w:pPr>
      <w:r>
        <w:t xml:space="preserve">7.2 Memory Footprint</w:t>
      </w:r>
    </w:p>
    <w:p>
      <w:pPr>
        <w:spacing w:after="160"/>
      </w:pPr>
      <w:r>
        <w:t xml:space="preserve">Given model sizes in the low single-digit millions of parameters, memory was never the bottleneck — even accounting for AdamW's two additional momentum buffers per parameter (roughly 3x the raw parameter memory during training), total footprint stayed in the tens of megabytes range. The bottleneck throughout was pure compute speed, not memory capacity.</w:t>
      </w:r>
    </w:p>
    <w:p>
      <w:pPr>
        <w:pStyle w:val="Heading2"/>
        <w:spacing w:after="150" w:before="300"/>
      </w:pPr>
      <w:r>
        <w:t xml:space="preserve">7.3 Networking, Latency, and Deployment Architecture</w:t>
      </w:r>
    </w:p>
    <w:p>
      <w:pPr>
        <w:spacing w:after="160"/>
      </w:pPr>
      <w:r>
        <w:t xml:space="preserve">The deployed system is a two-service architecture: a FastAPI backend (Python, serving all three model checkpoints from memory) and a React static frontend, deployed as two separate services on Render.</w:t>
      </w:r>
    </w:p>
    <w:p>
      <w:pPr>
        <w:pStyle w:val="ListParagraph"/>
        <w:numPr>
          <w:ilvl w:val="0"/>
          <w:numId w:val="2"/>
        </w:numPr>
        <w:spacing w:after="80"/>
      </w:pPr>
      <w:r>
        <w:t xml:space="preserve">CORS: the backend explicitly allows cross-origin requests from the frontend's deployed domain, since browser same-origin policy would otherwise block the frontend's JavaScript from calling a different domain's API.</w:t>
      </w:r>
    </w:p>
    <w:p>
      <w:pPr>
        <w:pStyle w:val="ListParagraph"/>
        <w:numPr>
          <w:ilvl w:val="0"/>
          <w:numId w:val="2"/>
        </w:numPr>
        <w:spacing w:after="80"/>
      </w:pPr>
      <w:r>
        <w:t xml:space="preserve">Inference latency: dominated by the same CPU-bound autoregressive generation described above — each output token requires a full forward pass, so response time scales roughly linearly with max_new_tokens. There is no batching or KV-caching optimization in this implementation, which is an explicit, stated limitation (see Section 9) and a natural 'future work' item.</w:t>
      </w:r>
    </w:p>
    <w:p>
      <w:pPr>
        <w:pStyle w:val="ListParagraph"/>
        <w:numPr>
          <w:ilvl w:val="0"/>
          <w:numId w:val="2"/>
        </w:numPr>
        <w:spacing w:after="80"/>
      </w:pPr>
      <w:r>
        <w:t xml:space="preserve">Cold starts: Render's free tier spins services down after inactivity; the first request after idle time can take 30–60 seconds purely for the container to wake, independent of model inference time. This was verified as a platform characteristic, not a bug in the code.</w:t>
      </w:r>
    </w:p>
    <w:p>
      <w:pPr>
        <w:pStyle w:val="ListParagraph"/>
        <w:numPr>
          <w:ilvl w:val="0"/>
          <w:numId w:val="2"/>
        </w:numPr>
        <w:spacing w:after="80"/>
      </w:pPr>
      <w:r>
        <w:t xml:space="preserve">Both model checkpoints (baseline, variant, and SFT) load into memory once at backend startup, not per-request — this keeps per-request latency limited to the actual generation compute, not repeated disk I/O or model loading.</w:t>
      </w:r>
    </w:p>
    <w:p>
      <w:pPr>
        <w:pStyle w:val="Heading1"/>
        <w:spacing w:after="200" w:before="400"/>
      </w:pPr>
      <w:r>
        <w:t xml:space="preserve">8. Full-Stack Deployment Architecture</w:t>
      </w:r>
    </w:p>
    <w:p>
      <w:pPr>
        <w:spacing w:after="160"/>
      </w:pPr>
      <w:r>
        <w:t xml:space="preserve">The frontend was designed and generated with an AI app builder (Lovable) using React, Vite, TypeScript, Tailwind CSS, and shadcn/ui components, then integrated by hand-connecting its API client layer to the real backend endpoints, replacing what was originally mock/placeholder data.</w:t>
      </w:r>
    </w:p>
    <w:p>
      <w:pPr>
        <w:pStyle w:val="Heading3"/>
        <w:spacing w:after="100" w:before="200"/>
      </w:pPr>
      <w:r>
        <w:t xml:space="preserve">Backend (FastAPI)</w:t>
      </w:r>
    </w:p>
    <w:p>
      <w:pPr>
        <w:pStyle w:val="ListParagraph"/>
        <w:numPr>
          <w:ilvl w:val="0"/>
          <w:numId w:val="2"/>
        </w:numPr>
        <w:spacing w:after="80"/>
      </w:pPr>
      <w:r>
        <w:t xml:space="preserve">POST /generate — continuation-style generation from the baseline or variant model.</w:t>
      </w:r>
    </w:p>
    <w:p>
      <w:pPr>
        <w:pStyle w:val="ListParagraph"/>
        <w:numPr>
          <w:ilvl w:val="0"/>
          <w:numId w:val="2"/>
        </w:numPr>
        <w:spacing w:after="80"/>
      </w:pPr>
      <w:r>
        <w:t xml:space="preserve">POST /generate-instruction — instruction-style generation from the SFT model.</w:t>
      </w:r>
    </w:p>
    <w:p>
      <w:pPr>
        <w:pStyle w:val="ListParagraph"/>
        <w:numPr>
          <w:ilvl w:val="0"/>
          <w:numId w:val="2"/>
        </w:numPr>
        <w:spacing w:after="80"/>
      </w:pPr>
      <w:r>
        <w:t xml:space="preserve">GET /model-info — returns live parameter counts, vocabulary size, and validation perplexity for all three models, sourced directly from training logs rather than hardcoded.</w:t>
      </w:r>
    </w:p>
    <w:p>
      <w:pPr>
        <w:pStyle w:val="ListParagraph"/>
        <w:numPr>
          <w:ilvl w:val="0"/>
          <w:numId w:val="2"/>
        </w:numPr>
        <w:spacing w:after="80"/>
      </w:pPr>
      <w:r>
        <w:t xml:space="preserve">GET /health — confirms all three checkpoints loaded successfully at startup.</w:t>
      </w:r>
    </w:p>
    <w:p>
      <w:pPr>
        <w:pStyle w:val="Heading3"/>
        <w:spacing w:after="100" w:before="200"/>
      </w:pPr>
      <w:r>
        <w:t xml:space="preserve">Frontend Features</w:t>
      </w:r>
    </w:p>
    <w:p>
      <w:pPr>
        <w:pStyle w:val="ListParagraph"/>
        <w:numPr>
          <w:ilvl w:val="0"/>
          <w:numId w:val="2"/>
        </w:numPr>
        <w:spacing w:after="80"/>
      </w:pPr>
      <w:r>
        <w:t xml:space="preserve">A three-way model selector (Baseline / Variant / Instruction-Tuned), each showing live stats pulled from the backend.</w:t>
      </w:r>
    </w:p>
    <w:p>
      <w:pPr>
        <w:pStyle w:val="ListParagraph"/>
        <w:numPr>
          <w:ilvl w:val="0"/>
          <w:numId w:val="2"/>
        </w:numPr>
        <w:spacing w:after="80"/>
      </w:pPr>
      <w:r>
        <w:t xml:space="preserve">Mode-aware UI: continuation mode shows a 'prompt' input with story-style example chips; instruction mode swaps to an 'instruction' input with task-style example chips and an inline note honestly describing the fine-tuning dataset's size and limitations.</w:t>
      </w:r>
    </w:p>
    <w:p>
      <w:pPr>
        <w:pStyle w:val="ListParagraph"/>
        <w:numPr>
          <w:ilvl w:val="0"/>
          <w:numId w:val="2"/>
        </w:numPr>
        <w:spacing w:after="80"/>
      </w:pPr>
      <w:r>
        <w:t xml:space="preserve">A 'Compare All 3' view that dispatches the same input to all three models simultaneously and renders their outputs side by side — visually demonstrating the entire pretraining-to-fine-tuning story in a single screen, without requiring a viewer to read documentation first.</w:t>
      </w:r>
    </w:p>
    <w:p>
      <w:pPr>
        <w:pStyle w:val="ListParagraph"/>
        <w:numPr>
          <w:ilvl w:val="0"/>
          <w:numId w:val="2"/>
        </w:numPr>
        <w:spacing w:after="80"/>
      </w:pPr>
      <w:r>
        <w:t xml:space="preserve">Generation history, typewriter-style text reveal, and a dark, animated, technical aesthetic suited to a research-tool presentation rather than a consumer chat app.</w:t>
      </w:r>
    </w:p>
    <w:p>
      <w:pPr>
        <w:pStyle w:val="Heading1"/>
        <w:spacing w:after="200" w:before="400"/>
      </w:pPr>
      <w:r>
        <w:t xml:space="preserve">9. Honest Limitations</w:t>
      </w:r>
    </w:p>
    <w:p>
      <w:pPr>
        <w:spacing w:after="160"/>
      </w:pPr>
      <w:r>
        <w:t xml:space="preserve">Stating limitations clearly and unprompted is itself a signal of engineering maturity — this section is written to be said out loud in an interview, not hidden.</w:t>
      </w:r>
    </w:p>
    <w:p>
      <w:pPr>
        <w:pStyle w:val="ListParagraph"/>
        <w:numPr>
          <w:ilvl w:val="0"/>
          <w:numId w:val="2"/>
        </w:numPr>
        <w:spacing w:after="80"/>
      </w:pPr>
      <w:r>
        <w:t xml:space="preserve">Model scale: single-digit millions of parameters versus billions in production LLMs — fluent, general-purpose text generation was never a realistic goal.</w:t>
      </w:r>
    </w:p>
    <w:p>
      <w:pPr>
        <w:pStyle w:val="ListParagraph"/>
        <w:numPr>
          <w:ilvl w:val="0"/>
          <w:numId w:val="2"/>
        </w:numPr>
        <w:spacing w:after="80"/>
      </w:pPr>
      <w:r>
        <w:t xml:space="preserve">Corpus scope: a single-domain (Shakespeare-style) corpus means the model has no general world knowledge; asking it a factual question produces stylistically consistent but factually meaningless text.</w:t>
      </w:r>
    </w:p>
    <w:p>
      <w:pPr>
        <w:pStyle w:val="ListParagraph"/>
        <w:numPr>
          <w:ilvl w:val="0"/>
          <w:numId w:val="2"/>
        </w:numPr>
        <w:spacing w:after="80"/>
      </w:pPr>
      <w:r>
        <w:t xml:space="preserve">Instruction-tuning generalization: format alignment was achieved; deep semantic generalization to novel abstract topics was not, due to the small (150-example) fine-tuning dataset and small model capacity.</w:t>
      </w:r>
    </w:p>
    <w:p>
      <w:pPr>
        <w:pStyle w:val="ListParagraph"/>
        <w:numPr>
          <w:ilvl w:val="0"/>
          <w:numId w:val="2"/>
        </w:numPr>
        <w:spacing w:after="80"/>
      </w:pPr>
      <w:r>
        <w:t xml:space="preserve">No KV-caching or batching in generation: each token requires a fresh forward pass; performance is adequate for demo purposes but would not scale to production-level concurrent traffic.</w:t>
      </w:r>
    </w:p>
    <w:p>
      <w:pPr>
        <w:pStyle w:val="ListParagraph"/>
        <w:numPr>
          <w:ilvl w:val="0"/>
          <w:numId w:val="2"/>
        </w:numPr>
        <w:spacing w:after="80"/>
      </w:pPr>
      <w:r>
        <w:t xml:space="preserve">CPU-only training constrained experiment scope: only two model sizes were compared, and only one architectural axis (embedding dimension) was varied; a GPU would have allowed testing more variants (positional encoding schemes, layer counts) within the same time budget.</w:t>
      </w:r>
    </w:p>
    <w:p>
      <w:pPr>
        <w:pStyle w:val="Heading1"/>
        <w:spacing w:after="200" w:before="400"/>
      </w:pPr>
      <w:r>
        <w:t xml:space="preserve">10. Interview Preparation: Must-Say Points and Anticipated Questions</w:t>
      </w:r>
    </w:p>
    <w:p>
      <w:pPr>
        <w:pStyle w:val="Heading2"/>
        <w:spacing w:after="150" w:before="300"/>
      </w:pPr>
      <w:r>
        <w:t xml:space="preserve">10.1 The One-Minute Summary (memorize this shape, not the exact words)</w:t>
      </w:r>
    </w:p>
    <w:p>
      <w:pPr>
        <w:pBdr>
          <w:left w:val="single" w:color="0F7C7C" w:sz="18" w:space="8"/>
        </w:pBdr>
        <w:spacing w:after="200" w:before="120"/>
        <w:ind w:left="200"/>
      </w:pPr>
      <w:r>
        <w:rPr>
          <w:i/>
          <w:iCs/>
          <w:color w:val="444444"/>
        </w:rPr>
        <w:t xml:space="preserve">“I built a transformer language model completely from scratch — tokenizer, self-attention, training loop — with no pretrained weights and no external APIs. I trained a baseline model, then ran a controlled comparison against a 3.8x larger variant to study the capacity-versus-training-time trade-off. I then added an instruction fine-tuning stage on top of the pretrained model and found a genuinely interesting result: it learned to structurally respond to instructions but not to semantically generalize, given the small fine-tuning dataset — which is a real, documented phenomenon in how models like ChatGPT are built. Finally, I deployed the whole thing as a full-stack web app so people can compare all three models live.”</w:t>
      </w:r>
    </w:p>
    <w:p>
      <w:pPr>
        <w:pStyle w:val="Heading2"/>
        <w:spacing w:after="150" w:before="300"/>
      </w:pPr>
      <w:r>
        <w:t xml:space="preserve">10.2 Likely Questions and How to Answer Them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tblGrid>
      <w:tr>
        <w:tc>
          <w:tcPr>
            <w:tcW w:type="dxa" w:w="3300"/>
            <w:shd w:fill="1B2A4A" w:val="clear"/>
            <w:tcMar>
              <w:top w:type="dxa" w:w="80"/>
              <w:left w:type="dxa" w:w="100"/>
              <w:bottom w:type="dxa" w:w="80"/>
              <w:right w:type="dxa" w:w="100"/>
            </w:tcMar>
          </w:tcPr>
          <w:p>
            <w:r>
              <w:rPr>
                <w:b/>
                <w:bCs/>
                <w:color w:val="FFFFFF"/>
              </w:rPr>
              <w:t xml:space="preserve">Question</w:t>
            </w:r>
          </w:p>
        </w:tc>
        <w:tc>
          <w:tcPr>
            <w:tcW w:type="dxa" w:w="3900"/>
            <w:shd w:fill="1B2A4A" w:val="clear"/>
            <w:tcMar>
              <w:top w:type="dxa" w:w="80"/>
              <w:left w:type="dxa" w:w="100"/>
              <w:bottom w:type="dxa" w:w="80"/>
              <w:right w:type="dxa" w:w="100"/>
            </w:tcMar>
          </w:tcPr>
          <w:p>
            <w:r>
              <w:rPr>
                <w:b/>
                <w:bCs/>
                <w:color w:val="FFFFFF"/>
              </w:rPr>
              <w:t xml:space="preserve">Answer Direction</w:t>
            </w:r>
          </w:p>
        </w:tc>
      </w:tr>
      <w:tr>
        <w:tc>
          <w:tcPr>
            <w:tcW w:type="dxa" w:w="3300"/>
            <w:tcMar>
              <w:top w:type="dxa" w:w="80"/>
              <w:left w:type="dxa" w:w="100"/>
              <w:bottom w:type="dxa" w:w="80"/>
              <w:right w:type="dxa" w:w="100"/>
            </w:tcMar>
          </w:tcPr>
          <w:p>
            <w:r>
              <w:rPr>
                <w:b w:val="false"/>
                <w:bCs w:val="false"/>
                <w:color w:val="000000"/>
              </w:rPr>
              <w:t xml:space="preserve">Why build from scratch instead of fine-tuning an existing model?</w:t>
            </w:r>
          </w:p>
        </w:tc>
        <w:tc>
          <w:tcPr>
            <w:tcW w:type="dxa" w:w="3900"/>
            <w:tcMar>
              <w:top w:type="dxa" w:w="80"/>
              <w:left w:type="dxa" w:w="100"/>
              <w:bottom w:type="dxa" w:w="80"/>
              <w:right w:type="dxa" w:w="100"/>
            </w:tcMar>
          </w:tcPr>
          <w:p>
            <w:r>
              <w:rPr>
                <w:b w:val="false"/>
                <w:bCs w:val="false"/>
                <w:color w:val="000000"/>
              </w:rPr>
              <w:t xml:space="preserve">The goal was demonstrating understanding of internals — attention, backprop, tokenization — not achieving state-of-the-art output quality. Fine-tuning a pretrained model would prove less about fundamentals.</w:t>
            </w:r>
          </w:p>
        </w:tc>
      </w:tr>
      <w:tr>
        <w:tc>
          <w:tcPr>
            <w:tcW w:type="dxa" w:w="3300"/>
            <w:shd w:fill="F2F2F2" w:val="clear"/>
            <w:tcMar>
              <w:top w:type="dxa" w:w="80"/>
              <w:left w:type="dxa" w:w="100"/>
              <w:bottom w:type="dxa" w:w="80"/>
              <w:right w:type="dxa" w:w="100"/>
            </w:tcMar>
          </w:tcPr>
          <w:p>
            <w:r>
              <w:rPr>
                <w:b w:val="false"/>
                <w:bCs w:val="false"/>
                <w:color w:val="000000"/>
              </w:rPr>
              <w:t xml:space="preserve">Why is your model's output not very coherent?</w:t>
            </w:r>
          </w:p>
        </w:tc>
        <w:tc>
          <w:tcPr>
            <w:tcW w:type="dxa" w:w="3900"/>
            <w:shd w:fill="F2F2F2" w:val="clear"/>
            <w:tcMar>
              <w:top w:type="dxa" w:w="80"/>
              <w:left w:type="dxa" w:w="100"/>
              <w:bottom w:type="dxa" w:w="80"/>
              <w:right w:type="dxa" w:w="100"/>
            </w:tcMar>
          </w:tcPr>
          <w:p>
            <w:r>
              <w:rPr>
                <w:b w:val="false"/>
                <w:bCs w:val="false"/>
                <w:color w:val="000000"/>
              </w:rPr>
              <w:t xml:space="preserve">Model size and corpus size were both deliberately kept small to make CPU training feasible in hours; coherence scales with both, and this trade-off was explicit and understood, not accidental.</w:t>
            </w:r>
          </w:p>
        </w:tc>
      </w:tr>
      <w:tr>
        <w:tc>
          <w:tcPr>
            <w:tcW w:type="dxa" w:w="3300"/>
            <w:tcMar>
              <w:top w:type="dxa" w:w="80"/>
              <w:left w:type="dxa" w:w="100"/>
              <w:bottom w:type="dxa" w:w="80"/>
              <w:right w:type="dxa" w:w="100"/>
            </w:tcMar>
          </w:tcPr>
          <w:p>
            <w:r>
              <w:rPr>
                <w:b w:val="false"/>
                <w:bCs w:val="false"/>
                <w:color w:val="000000"/>
              </w:rPr>
              <w:t xml:space="preserve">What was the hardest bug you hit?</w:t>
            </w:r>
          </w:p>
        </w:tc>
        <w:tc>
          <w:tcPr>
            <w:tcW w:type="dxa" w:w="3900"/>
            <w:tcMar>
              <w:top w:type="dxa" w:w="80"/>
              <w:left w:type="dxa" w:w="100"/>
              <w:bottom w:type="dxa" w:w="80"/>
              <w:right w:type="dxa" w:w="100"/>
            </w:tcMar>
          </w:tcPr>
          <w:p>
            <w:r>
              <w:rPr>
                <w:b w:val="false"/>
                <w:bCs w:val="false"/>
                <w:color w:val="000000"/>
              </w:rPr>
              <w:t xml:space="preserve">The tokenizer/checkpoint mismatch after expanding the corpus — the model appeared 'broken' after retraining, but the real cause was decoding new-vocabulary tokens through old-vocabulary weights. Diagnosed via file timestamps, not by guessing.</w:t>
            </w:r>
          </w:p>
        </w:tc>
      </w:tr>
      <w:tr>
        <w:tc>
          <w:tcPr>
            <w:tcW w:type="dxa" w:w="3300"/>
            <w:shd w:fill="F2F2F2" w:val="clear"/>
            <w:tcMar>
              <w:top w:type="dxa" w:w="80"/>
              <w:left w:type="dxa" w:w="100"/>
              <w:bottom w:type="dxa" w:w="80"/>
              <w:right w:type="dxa" w:w="100"/>
            </w:tcMar>
          </w:tcPr>
          <w:p>
            <w:r>
              <w:rPr>
                <w:b w:val="false"/>
                <w:bCs w:val="false"/>
                <w:color w:val="000000"/>
              </w:rPr>
              <w:t xml:space="preserve">What would you do differently with more time/compute?</w:t>
            </w:r>
          </w:p>
        </w:tc>
        <w:tc>
          <w:tcPr>
            <w:tcW w:type="dxa" w:w="3900"/>
            <w:shd w:fill="F2F2F2" w:val="clear"/>
            <w:tcMar>
              <w:top w:type="dxa" w:w="80"/>
              <w:left w:type="dxa" w:w="100"/>
              <w:bottom w:type="dxa" w:w="80"/>
              <w:right w:type="dxa" w:w="100"/>
            </w:tcMar>
          </w:tcPr>
          <w:p>
            <w:r>
              <w:rPr>
                <w:b w:val="false"/>
                <w:bCs w:val="false"/>
                <w:color w:val="000000"/>
              </w:rPr>
              <w:t xml:space="preserve">Use a GPU to test more architectural variants (layer count, positional encoding schemes) within the same time budget, and expand the SFT dataset significantly to test whether semantic generalization improves with more examples.</w:t>
            </w:r>
          </w:p>
        </w:tc>
      </w:tr>
      <w:tr>
        <w:tc>
          <w:tcPr>
            <w:tcW w:type="dxa" w:w="3300"/>
            <w:tcMar>
              <w:top w:type="dxa" w:w="80"/>
              <w:left w:type="dxa" w:w="100"/>
              <w:bottom w:type="dxa" w:w="80"/>
              <w:right w:type="dxa" w:w="100"/>
            </w:tcMar>
          </w:tcPr>
          <w:p>
            <w:r>
              <w:rPr>
                <w:b w:val="false"/>
                <w:bCs w:val="false"/>
                <w:color w:val="000000"/>
              </w:rPr>
              <w:t xml:space="preserve">Why does your model ignore instructions unless you use the SFT mode?</w:t>
            </w:r>
          </w:p>
        </w:tc>
        <w:tc>
          <w:tcPr>
            <w:tcW w:type="dxa" w:w="3900"/>
            <w:tcMar>
              <w:top w:type="dxa" w:w="80"/>
              <w:left w:type="dxa" w:w="100"/>
              <w:bottom w:type="dxa" w:w="80"/>
              <w:right w:type="dxa" w:w="100"/>
            </w:tcMar>
          </w:tcPr>
          <w:p>
            <w:r>
              <w:rPr>
                <w:b w:val="false"/>
                <w:bCs w:val="false"/>
                <w:color w:val="000000"/>
              </w:rPr>
              <w:t xml:space="preserve">Explain pretraining versus instruction-tuning directly — a base model only knows next-token continuation; SFT teaches response structure using labeled (instruction, response) pairs.</w:t>
            </w:r>
          </w:p>
        </w:tc>
      </w:tr>
      <w:tr>
        <w:tc>
          <w:tcPr>
            <w:tcW w:type="dxa" w:w="3300"/>
            <w:shd w:fill="F2F2F2" w:val="clear"/>
            <w:tcMar>
              <w:top w:type="dxa" w:w="80"/>
              <w:left w:type="dxa" w:w="100"/>
              <w:bottom w:type="dxa" w:w="80"/>
              <w:right w:type="dxa" w:w="100"/>
            </w:tcMar>
          </w:tcPr>
          <w:p>
            <w:r>
              <w:rPr>
                <w:b w:val="false"/>
                <w:bCs w:val="false"/>
                <w:color w:val="000000"/>
              </w:rPr>
              <w:t xml:space="preserve">How did you validate your bigger model was actually better, not just different?</w:t>
            </w:r>
          </w:p>
        </w:tc>
        <w:tc>
          <w:tcPr>
            <w:tcW w:type="dxa" w:w="3900"/>
            <w:shd w:fill="F2F2F2" w:val="clear"/>
            <w:tcMar>
              <w:top w:type="dxa" w:w="80"/>
              <w:left w:type="dxa" w:w="100"/>
              <w:bottom w:type="dxa" w:w="80"/>
              <w:right w:type="dxa" w:w="100"/>
            </w:tcMar>
          </w:tcPr>
          <w:p>
            <w:r>
              <w:rPr>
                <w:b w:val="false"/>
                <w:bCs w:val="false"/>
                <w:color w:val="000000"/>
              </w:rPr>
              <w:t xml:space="preserve">A held-out validation set (not used in training) was tracked throughout; the comparison used validation loss/perplexity specifically to check generalization, not just training-set fit.</w:t>
            </w:r>
          </w:p>
        </w:tc>
      </w:tr>
    </w:tbl>
    <w:p>
      <w:pPr>
        <w:pStyle w:val="Heading2"/>
        <w:spacing w:after="150" w:before="300"/>
      </w:pPr>
      <w:r>
        <w:t xml:space="preserve">10.3 Numbers Worth Memorizing</w:t>
      </w:r>
    </w:p>
    <w:p>
      <w:pPr>
        <w:pStyle w:val="ListParagraph"/>
        <w:numPr>
          <w:ilvl w:val="0"/>
          <w:numId w:val="2"/>
        </w:numPr>
        <w:spacing w:after="80"/>
      </w:pPr>
      <w:r>
        <w:t xml:space="preserve">Baseline: 0.88M params → val perplexity 11.77 (12,000 steps, ~1.5 hrs on CPU)</w:t>
      </w:r>
    </w:p>
    <w:p>
      <w:pPr>
        <w:pStyle w:val="ListParagraph"/>
        <w:numPr>
          <w:ilvl w:val="0"/>
          <w:numId w:val="2"/>
        </w:numPr>
        <w:spacing w:after="80"/>
      </w:pPr>
      <w:r>
        <w:t xml:space="preserve">Variant: 3.32M params (3.8x) → val perplexity 9.05 (23% improvement), ~6.9 hrs on CPU</w:t>
      </w:r>
    </w:p>
    <w:p>
      <w:pPr>
        <w:pStyle w:val="ListParagraph"/>
        <w:numPr>
          <w:ilvl w:val="0"/>
          <w:numId w:val="2"/>
        </w:numPr>
        <w:spacing w:after="80"/>
      </w:pPr>
      <w:r>
        <w:t xml:space="preserve">Variant matched baseline's final quality in ~3,000 steps (4x more sample-efficient)</w:t>
      </w:r>
    </w:p>
    <w:p>
      <w:pPr>
        <w:pStyle w:val="ListParagraph"/>
        <w:numPr>
          <w:ilvl w:val="0"/>
          <w:numId w:val="2"/>
        </w:numPr>
        <w:spacing w:after="80"/>
      </w:pPr>
      <w:r>
        <w:t xml:space="preserve">SFT: 150 instruction pairs, 1,000 steps, ~11 minutes, achieved format alignment but not semantic generalization</w:t>
      </w:r>
    </w:p>
    <w:p>
      <w:pPr>
        <w:pStyle w:val="Heading1"/>
        <w:spacing w:after="200" w:before="400"/>
      </w:pPr>
      <w:r>
        <w:t xml:space="preserve">11. Future Work</w:t>
      </w:r>
    </w:p>
    <w:p>
      <w:pPr>
        <w:pStyle w:val="ListParagraph"/>
        <w:numPr>
          <w:ilvl w:val="0"/>
          <w:numId w:val="2"/>
        </w:numPr>
        <w:spacing w:after="80"/>
      </w:pPr>
      <w:r>
        <w:t xml:space="preserve">Expand the SFT dataset substantially (hundreds to thousands of examples) to test whether semantic generalization improves, isolating dataset size as a variable.</w:t>
      </w:r>
    </w:p>
    <w:p>
      <w:pPr>
        <w:pStyle w:val="ListParagraph"/>
        <w:numPr>
          <w:ilvl w:val="0"/>
          <w:numId w:val="2"/>
        </w:numPr>
        <w:spacing w:after="80"/>
      </w:pPr>
      <w:r>
        <w:t xml:space="preserve">Add KV-caching to generation for meaningfully faster inference latency in the deployed API.</w:t>
      </w:r>
    </w:p>
    <w:p>
      <w:pPr>
        <w:pStyle w:val="ListParagraph"/>
        <w:numPr>
          <w:ilvl w:val="0"/>
          <w:numId w:val="2"/>
        </w:numPr>
        <w:spacing w:after="80"/>
      </w:pPr>
      <w:r>
        <w:t xml:space="preserve">Run additional architecture variants (layer count, sinusoidal vs. learned positional encoding) given access to GPU compute.</w:t>
      </w:r>
    </w:p>
    <w:p>
      <w:pPr>
        <w:pStyle w:val="ListParagraph"/>
        <w:numPr>
          <w:ilvl w:val="0"/>
          <w:numId w:val="2"/>
        </w:numPr>
        <w:spacing w:after="80"/>
      </w:pPr>
      <w:r>
        <w:t xml:space="preserve">Add quantitative human-evaluation scoring (coherence ratings) alongside perplexity, since perplexity alone does not fully capture generation quality.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2026-09-10T04:40:29.026Z</dcterms:created>
  <dcterms:modified xsi:type="dcterms:W3CDTF">2026-09-10T04:40:29.040Z</dcterms:modified>
</cp:coreProperties>
</file>

<file path=docProps/custom.xml><?xml version="1.0" encoding="utf-8"?>
<Properties xmlns="http://schemas.openxmlformats.org/officeDocument/2006/custom-properties" xmlns:vt="http://schemas.openxmlformats.org/officeDocument/2006/docPropsVTypes"/>
</file>