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777"/>
      </w:tblGrid>
      <w:tr w:rsidR="008B45EB" w:rsidRPr="001363C3">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B45EB" w:rsidRDefault="008B45EB" w:rsidP="001363C3">
            <w:pPr>
              <w:jc w:val="center"/>
              <w:rPr>
                <w:b/>
                <w:bCs/>
                <w:sz w:val="26"/>
              </w:rPr>
            </w:pPr>
            <w:bookmarkStart w:id="0" w:name="_GoBack"/>
            <w:bookmarkEnd w:id="0"/>
            <w:r w:rsidRPr="001363C3">
              <w:rPr>
                <w:b/>
                <w:bCs/>
                <w:sz w:val="26"/>
              </w:rPr>
              <w:t>B</w:t>
            </w:r>
            <w:r w:rsidR="001363C3">
              <w:rPr>
                <w:b/>
                <w:bCs/>
                <w:sz w:val="26"/>
              </w:rPr>
              <w:t xml:space="preserve">Ộ VĂN HÓA, THỂ THAO </w:t>
            </w:r>
            <w:r w:rsidR="001363C3">
              <w:rPr>
                <w:b/>
                <w:bCs/>
                <w:sz w:val="26"/>
              </w:rPr>
              <w:br/>
              <w:t>VÀ DU LỊCH</w:t>
            </w:r>
          </w:p>
          <w:p w:rsidR="001363C3" w:rsidRPr="001363C3" w:rsidRDefault="001363C3" w:rsidP="001363C3">
            <w:pPr>
              <w:jc w:val="center"/>
              <w:rPr>
                <w:sz w:val="26"/>
              </w:rPr>
            </w:pPr>
            <w:r>
              <w:rPr>
                <w:noProof/>
                <w:sz w:val="26"/>
              </w:rPr>
              <w:pict>
                <v:line id="_x0000_s1028" style="position:absolute;left:0;text-align:left;z-index:251656704" from="1in,6.1pt" to="96pt,6.1pt"/>
              </w:pic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B45EB" w:rsidRPr="001363C3" w:rsidRDefault="001363C3" w:rsidP="001363C3">
            <w:pPr>
              <w:jc w:val="center"/>
              <w:rPr>
                <w:sz w:val="26"/>
              </w:rPr>
            </w:pPr>
            <w:r>
              <w:rPr>
                <w:b/>
                <w:bCs/>
                <w:noProof/>
                <w:sz w:val="26"/>
              </w:rPr>
              <w:pict>
                <v:line id="_x0000_s1031" style="position:absolute;left:0;text-align:left;z-index:251657728;mso-position-horizontal-relative:text;mso-position-vertical-relative:text" from="60.75pt,36pt" to="216.75pt,36pt"/>
              </w:pict>
            </w:r>
            <w:r w:rsidR="008B45EB" w:rsidRPr="001363C3">
              <w:rPr>
                <w:b/>
                <w:bCs/>
                <w:sz w:val="26"/>
              </w:rPr>
              <w:t>CỘNG HÒA XÃ HỘI CHỦ NGHĨA VIỆT NAM</w:t>
            </w:r>
            <w:r w:rsidR="008B45EB" w:rsidRPr="001363C3">
              <w:rPr>
                <w:b/>
                <w:bCs/>
                <w:sz w:val="26"/>
              </w:rPr>
              <w:br/>
              <w:t xml:space="preserve">Độc lập - Tự do - Hạnh phúc </w:t>
            </w:r>
            <w:r w:rsidR="008B45EB" w:rsidRPr="001363C3">
              <w:rPr>
                <w:b/>
                <w:bCs/>
                <w:sz w:val="26"/>
              </w:rPr>
              <w:br/>
            </w:r>
          </w:p>
        </w:tc>
      </w:tr>
      <w:tr w:rsidR="008B45EB" w:rsidRPr="001363C3">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6"/>
              </w:rPr>
            </w:pPr>
            <w:r w:rsidRPr="001363C3">
              <w:rPr>
                <w:sz w:val="26"/>
              </w:rPr>
              <w:t>Số: 07/2013/TT-BVHTTDL</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6"/>
              </w:rPr>
            </w:pPr>
            <w:r w:rsidRPr="001363C3">
              <w:rPr>
                <w:i/>
                <w:iCs/>
                <w:sz w:val="26"/>
              </w:rPr>
              <w:t>Hà Nội, ngày 01 tháng 11 năm 2013</w:t>
            </w:r>
          </w:p>
        </w:tc>
      </w:tr>
    </w:tbl>
    <w:p w:rsidR="008B45EB" w:rsidRPr="001363C3" w:rsidRDefault="008B45EB" w:rsidP="001363C3">
      <w:pPr>
        <w:spacing w:before="120" w:after="120" w:line="320" w:lineRule="exact"/>
        <w:ind w:firstLine="567"/>
        <w:jc w:val="both"/>
        <w:rPr>
          <w:sz w:val="28"/>
        </w:rPr>
      </w:pPr>
      <w:r w:rsidRPr="001363C3">
        <w:rPr>
          <w:sz w:val="28"/>
        </w:rPr>
        <w:t> </w:t>
      </w:r>
    </w:p>
    <w:p w:rsidR="008B45EB" w:rsidRPr="001363C3" w:rsidRDefault="008B45EB" w:rsidP="001363C3">
      <w:pPr>
        <w:jc w:val="center"/>
        <w:rPr>
          <w:b/>
          <w:sz w:val="28"/>
        </w:rPr>
      </w:pPr>
      <w:r w:rsidRPr="001363C3">
        <w:rPr>
          <w:b/>
          <w:bCs/>
          <w:sz w:val="28"/>
        </w:rPr>
        <w:t>THÔNG TƯ</w:t>
      </w:r>
    </w:p>
    <w:p w:rsidR="001363C3" w:rsidRDefault="001363C3" w:rsidP="001363C3">
      <w:pPr>
        <w:jc w:val="center"/>
        <w:rPr>
          <w:b/>
          <w:sz w:val="28"/>
        </w:rPr>
      </w:pPr>
      <w:r>
        <w:rPr>
          <w:b/>
          <w:sz w:val="28"/>
        </w:rPr>
        <w:t>Quy</w:t>
      </w:r>
      <w:r w:rsidR="008B45EB" w:rsidRPr="001363C3">
        <w:rPr>
          <w:b/>
          <w:sz w:val="28"/>
        </w:rPr>
        <w:t xml:space="preserve"> </w:t>
      </w:r>
      <w:r>
        <w:rPr>
          <w:b/>
          <w:sz w:val="28"/>
        </w:rPr>
        <w:t>định</w:t>
      </w:r>
      <w:r w:rsidR="008B45EB" w:rsidRPr="001363C3">
        <w:rPr>
          <w:b/>
          <w:sz w:val="28"/>
        </w:rPr>
        <w:t xml:space="preserve"> </w:t>
      </w:r>
      <w:r>
        <w:rPr>
          <w:b/>
          <w:sz w:val="28"/>
        </w:rPr>
        <w:t>định</w:t>
      </w:r>
      <w:r w:rsidR="008B45EB" w:rsidRPr="001363C3">
        <w:rPr>
          <w:b/>
          <w:sz w:val="28"/>
        </w:rPr>
        <w:t xml:space="preserve"> </w:t>
      </w:r>
      <w:r>
        <w:rPr>
          <w:b/>
          <w:sz w:val="28"/>
        </w:rPr>
        <w:t>mức</w:t>
      </w:r>
      <w:r w:rsidR="008B45EB" w:rsidRPr="001363C3">
        <w:rPr>
          <w:b/>
          <w:sz w:val="28"/>
        </w:rPr>
        <w:t xml:space="preserve"> </w:t>
      </w:r>
      <w:r>
        <w:rPr>
          <w:b/>
          <w:sz w:val="28"/>
        </w:rPr>
        <w:t>trả</w:t>
      </w:r>
      <w:r w:rsidR="008B45EB" w:rsidRPr="001363C3">
        <w:rPr>
          <w:b/>
          <w:sz w:val="28"/>
        </w:rPr>
        <w:t xml:space="preserve"> </w:t>
      </w:r>
      <w:r>
        <w:rPr>
          <w:b/>
          <w:sz w:val="28"/>
        </w:rPr>
        <w:t>công</w:t>
      </w:r>
      <w:r w:rsidR="008B45EB" w:rsidRPr="001363C3">
        <w:rPr>
          <w:b/>
          <w:sz w:val="28"/>
        </w:rPr>
        <w:t xml:space="preserve"> </w:t>
      </w:r>
      <w:r>
        <w:rPr>
          <w:b/>
          <w:sz w:val="28"/>
        </w:rPr>
        <w:t>giờ</w:t>
      </w:r>
      <w:r w:rsidR="008B45EB" w:rsidRPr="001363C3">
        <w:rPr>
          <w:b/>
          <w:sz w:val="28"/>
        </w:rPr>
        <w:t xml:space="preserve"> </w:t>
      </w:r>
      <w:r>
        <w:rPr>
          <w:b/>
          <w:sz w:val="28"/>
        </w:rPr>
        <w:t>người</w:t>
      </w:r>
      <w:r w:rsidR="008B45EB" w:rsidRPr="001363C3">
        <w:rPr>
          <w:b/>
          <w:sz w:val="28"/>
        </w:rPr>
        <w:t xml:space="preserve"> </w:t>
      </w:r>
      <w:r>
        <w:rPr>
          <w:b/>
          <w:sz w:val="28"/>
        </w:rPr>
        <w:t>làm</w:t>
      </w:r>
      <w:r w:rsidR="008B45EB" w:rsidRPr="001363C3">
        <w:rPr>
          <w:b/>
          <w:sz w:val="28"/>
        </w:rPr>
        <w:t xml:space="preserve"> </w:t>
      </w:r>
      <w:r>
        <w:rPr>
          <w:b/>
          <w:sz w:val="28"/>
        </w:rPr>
        <w:t>mẫu</w:t>
      </w:r>
      <w:r w:rsidR="008B45EB" w:rsidRPr="001363C3">
        <w:rPr>
          <w:b/>
          <w:sz w:val="28"/>
        </w:rPr>
        <w:t xml:space="preserve"> </w:t>
      </w:r>
      <w:r>
        <w:rPr>
          <w:b/>
          <w:sz w:val="28"/>
        </w:rPr>
        <w:t>vẽ</w:t>
      </w:r>
      <w:r w:rsidR="008B45EB" w:rsidRPr="001363C3">
        <w:rPr>
          <w:b/>
          <w:sz w:val="28"/>
        </w:rPr>
        <w:t xml:space="preserve"> </w:t>
      </w:r>
    </w:p>
    <w:p w:rsidR="008B45EB" w:rsidRDefault="001363C3" w:rsidP="001363C3">
      <w:pPr>
        <w:jc w:val="center"/>
        <w:rPr>
          <w:b/>
          <w:sz w:val="28"/>
        </w:rPr>
      </w:pPr>
      <w:r>
        <w:rPr>
          <w:b/>
          <w:sz w:val="28"/>
        </w:rPr>
        <w:t>trong</w:t>
      </w:r>
      <w:r w:rsidR="008B45EB" w:rsidRPr="001363C3">
        <w:rPr>
          <w:b/>
          <w:sz w:val="28"/>
        </w:rPr>
        <w:t xml:space="preserve"> </w:t>
      </w:r>
      <w:r>
        <w:rPr>
          <w:b/>
          <w:sz w:val="28"/>
        </w:rPr>
        <w:t>các</w:t>
      </w:r>
      <w:r w:rsidR="008B45EB" w:rsidRPr="001363C3">
        <w:rPr>
          <w:b/>
          <w:sz w:val="28"/>
        </w:rPr>
        <w:t xml:space="preserve"> </w:t>
      </w:r>
      <w:r>
        <w:rPr>
          <w:b/>
          <w:sz w:val="28"/>
        </w:rPr>
        <w:t>trường</w:t>
      </w:r>
      <w:r w:rsidR="008B45EB" w:rsidRPr="001363C3">
        <w:rPr>
          <w:b/>
          <w:sz w:val="28"/>
        </w:rPr>
        <w:t xml:space="preserve"> </w:t>
      </w:r>
      <w:r>
        <w:rPr>
          <w:b/>
          <w:sz w:val="28"/>
        </w:rPr>
        <w:t>đào</w:t>
      </w:r>
      <w:r w:rsidR="008B45EB" w:rsidRPr="001363C3">
        <w:rPr>
          <w:b/>
          <w:sz w:val="28"/>
        </w:rPr>
        <w:t xml:space="preserve"> </w:t>
      </w:r>
      <w:r>
        <w:rPr>
          <w:b/>
          <w:sz w:val="28"/>
        </w:rPr>
        <w:t>tạo</w:t>
      </w:r>
      <w:r w:rsidR="008B45EB" w:rsidRPr="001363C3">
        <w:rPr>
          <w:b/>
          <w:sz w:val="28"/>
        </w:rPr>
        <w:t xml:space="preserve"> </w:t>
      </w:r>
      <w:r>
        <w:rPr>
          <w:b/>
          <w:sz w:val="28"/>
        </w:rPr>
        <w:t>mỹ</w:t>
      </w:r>
      <w:r w:rsidR="008B45EB" w:rsidRPr="001363C3">
        <w:rPr>
          <w:b/>
          <w:sz w:val="28"/>
        </w:rPr>
        <w:t xml:space="preserve"> </w:t>
      </w:r>
      <w:r>
        <w:rPr>
          <w:b/>
          <w:sz w:val="28"/>
        </w:rPr>
        <w:t>thuật</w:t>
      </w:r>
    </w:p>
    <w:p w:rsidR="001363C3" w:rsidRPr="001363C3" w:rsidRDefault="001363C3" w:rsidP="001363C3">
      <w:pPr>
        <w:jc w:val="center"/>
        <w:rPr>
          <w:b/>
          <w:sz w:val="28"/>
        </w:rPr>
      </w:pPr>
      <w:r>
        <w:rPr>
          <w:b/>
          <w:noProof/>
          <w:sz w:val="28"/>
        </w:rPr>
        <w:pict>
          <v:line id="_x0000_s1034" style="position:absolute;left:0;text-align:left;z-index:251658752" from="186pt,7.9pt" to="270pt,7.9pt"/>
        </w:pict>
      </w:r>
    </w:p>
    <w:p w:rsidR="008B45EB" w:rsidRPr="001363C3" w:rsidRDefault="008B45EB" w:rsidP="001363C3">
      <w:pPr>
        <w:spacing w:before="120" w:after="120" w:line="320" w:lineRule="exact"/>
        <w:ind w:firstLine="567"/>
        <w:jc w:val="both"/>
        <w:rPr>
          <w:sz w:val="28"/>
        </w:rPr>
      </w:pPr>
      <w:r w:rsidRPr="001363C3">
        <w:rPr>
          <w:i/>
          <w:iCs/>
          <w:sz w:val="28"/>
        </w:rPr>
        <w:t>Căn cứ Bộ luật Lao động số 10/2012/QH13;</w:t>
      </w:r>
    </w:p>
    <w:p w:rsidR="008B45EB" w:rsidRPr="001363C3" w:rsidRDefault="008B45EB" w:rsidP="001363C3">
      <w:pPr>
        <w:spacing w:before="120" w:after="120" w:line="320" w:lineRule="exact"/>
        <w:ind w:firstLine="567"/>
        <w:jc w:val="both"/>
        <w:rPr>
          <w:sz w:val="28"/>
        </w:rPr>
      </w:pPr>
      <w:r w:rsidRPr="001363C3">
        <w:rPr>
          <w:i/>
          <w:iCs/>
          <w:sz w:val="28"/>
        </w:rPr>
        <w:t>Căn cứ Luật Giáo dục ngày 14 tháng 6 năm 2005, Luật sửa đổi bổ sung một số điều của Luật Giáo dục ngày 25 tháng11 năm 2009 của Quốc hội Nước Cộng hòa Xã hội Chủ nghĩa Việt Nam;</w:t>
      </w:r>
    </w:p>
    <w:p w:rsidR="008B45EB" w:rsidRPr="001363C3" w:rsidRDefault="008B45EB" w:rsidP="001363C3">
      <w:pPr>
        <w:spacing w:before="120" w:after="120" w:line="320" w:lineRule="exact"/>
        <w:ind w:firstLine="567"/>
        <w:jc w:val="both"/>
        <w:rPr>
          <w:sz w:val="28"/>
        </w:rPr>
      </w:pPr>
      <w:r w:rsidRPr="001363C3">
        <w:rPr>
          <w:i/>
          <w:iCs/>
          <w:sz w:val="28"/>
        </w:rPr>
        <w:t>Căn cứ Luật Giáo dục Đại học số 08/2012/QH13;</w:t>
      </w:r>
    </w:p>
    <w:p w:rsidR="008B45EB" w:rsidRPr="001363C3" w:rsidRDefault="008B45EB" w:rsidP="001363C3">
      <w:pPr>
        <w:spacing w:before="120" w:after="120" w:line="320" w:lineRule="exact"/>
        <w:ind w:firstLine="567"/>
        <w:jc w:val="both"/>
        <w:rPr>
          <w:sz w:val="28"/>
        </w:rPr>
      </w:pPr>
      <w:r w:rsidRPr="001363C3">
        <w:rPr>
          <w:i/>
          <w:iCs/>
          <w:sz w:val="28"/>
        </w:rPr>
        <w:t>Căn cứ Nghị định số 60/2003/NĐ-CP ngày 06 tháng 6 năm 2003 của Chính phủ quy định chi tiết và hướng dẫn thi hành Luật Ngân sách Nhà nước;</w:t>
      </w:r>
    </w:p>
    <w:p w:rsidR="008B45EB" w:rsidRPr="001363C3" w:rsidRDefault="008B45EB" w:rsidP="001363C3">
      <w:pPr>
        <w:spacing w:before="120" w:after="120" w:line="320" w:lineRule="exact"/>
        <w:ind w:firstLine="567"/>
        <w:jc w:val="both"/>
        <w:rPr>
          <w:sz w:val="28"/>
        </w:rPr>
      </w:pPr>
      <w:r w:rsidRPr="001363C3">
        <w:rPr>
          <w:i/>
          <w:iCs/>
          <w:sz w:val="28"/>
        </w:rPr>
        <w:t>Căn cứ Nghị định số 76/2013/NĐ-CP ngày 16 tháng 7 năm 2013 của Chính phủ quy định chức năng, nhiệm vụ, quyền hạn và cơ cấu tổ chức của Bộ Văn hóa, Thể thao và Du lịch;</w:t>
      </w:r>
    </w:p>
    <w:p w:rsidR="008B45EB" w:rsidRPr="001363C3" w:rsidRDefault="008B45EB" w:rsidP="001363C3">
      <w:pPr>
        <w:spacing w:before="120" w:after="120" w:line="320" w:lineRule="exact"/>
        <w:ind w:firstLine="567"/>
        <w:jc w:val="both"/>
        <w:rPr>
          <w:sz w:val="28"/>
        </w:rPr>
      </w:pPr>
      <w:r w:rsidRPr="001363C3">
        <w:rPr>
          <w:i/>
          <w:iCs/>
          <w:sz w:val="28"/>
        </w:rPr>
        <w:t>Sau khi có ý kiến thống nhất của Bộ Tài chính tại văn bản số 12255/BTC-HCSN ngày 16 tháng 9 năm 2013 về chế độ đối với người làm mẫu vẽ trong các trường mỹ thuật;</w:t>
      </w:r>
    </w:p>
    <w:p w:rsidR="008B45EB" w:rsidRPr="001363C3" w:rsidRDefault="008B45EB" w:rsidP="001363C3">
      <w:pPr>
        <w:spacing w:before="120" w:after="120" w:line="320" w:lineRule="exact"/>
        <w:ind w:firstLine="567"/>
        <w:jc w:val="both"/>
        <w:rPr>
          <w:sz w:val="28"/>
        </w:rPr>
      </w:pPr>
      <w:r w:rsidRPr="001363C3">
        <w:rPr>
          <w:i/>
          <w:iCs/>
          <w:sz w:val="28"/>
        </w:rPr>
        <w:t>Theo đề nghị của Vụ trưởng Vụ Đào tạo;</w:t>
      </w:r>
    </w:p>
    <w:p w:rsidR="008B45EB" w:rsidRPr="001363C3" w:rsidRDefault="008B45EB" w:rsidP="001363C3">
      <w:pPr>
        <w:spacing w:before="120" w:after="120" w:line="320" w:lineRule="exact"/>
        <w:ind w:firstLine="567"/>
        <w:jc w:val="both"/>
        <w:rPr>
          <w:sz w:val="28"/>
        </w:rPr>
      </w:pPr>
      <w:r w:rsidRPr="001363C3">
        <w:rPr>
          <w:i/>
          <w:iCs/>
          <w:sz w:val="28"/>
        </w:rPr>
        <w:t>Bộ trưởng Bộ Văn hóa, Thể thao và Du lịch ban hành Thông tư quy định định mức trả công giờ người làm mẫu vẽ trong các trường đào tạo mỹ thuật,</w:t>
      </w:r>
    </w:p>
    <w:p w:rsidR="008B45EB" w:rsidRPr="001363C3" w:rsidRDefault="008B45EB" w:rsidP="001363C3">
      <w:pPr>
        <w:spacing w:before="120" w:after="120" w:line="320" w:lineRule="exact"/>
        <w:ind w:firstLine="567"/>
        <w:jc w:val="both"/>
        <w:rPr>
          <w:sz w:val="28"/>
        </w:rPr>
      </w:pPr>
      <w:r w:rsidRPr="001363C3">
        <w:rPr>
          <w:b/>
          <w:bCs/>
          <w:sz w:val="28"/>
        </w:rPr>
        <w:t>Điều 1. Phạm vi và đối tượng điều chỉnh</w:t>
      </w:r>
    </w:p>
    <w:p w:rsidR="008B45EB" w:rsidRPr="001363C3" w:rsidRDefault="008B45EB" w:rsidP="001363C3">
      <w:pPr>
        <w:spacing w:before="120" w:after="120" w:line="320" w:lineRule="exact"/>
        <w:ind w:firstLine="567"/>
        <w:jc w:val="both"/>
        <w:rPr>
          <w:sz w:val="28"/>
        </w:rPr>
      </w:pPr>
      <w:r w:rsidRPr="001363C3">
        <w:rPr>
          <w:sz w:val="28"/>
        </w:rPr>
        <w:t>1. Thông tư này quy định định mức trả công giờ người làm mẫu vẽ trong các trường đại học, học viện, cao đẳng, trung cấp có đào tạo mỹ thuật hoặc có tham gia đào tạo các ngành học về mỹ thuật (sau đây gọi chung là các cơ sở đào tạo mỹ thuật).</w:t>
      </w:r>
    </w:p>
    <w:p w:rsidR="008B45EB" w:rsidRPr="001363C3" w:rsidRDefault="008B45EB" w:rsidP="001363C3">
      <w:pPr>
        <w:spacing w:before="120" w:after="120" w:line="320" w:lineRule="exact"/>
        <w:ind w:firstLine="567"/>
        <w:jc w:val="both"/>
        <w:rPr>
          <w:sz w:val="28"/>
        </w:rPr>
      </w:pPr>
      <w:r w:rsidRPr="001363C3">
        <w:rPr>
          <w:sz w:val="28"/>
        </w:rPr>
        <w:t>2. Đối tượng được trả công theo quy định tại Thông tư này là người lao động được các cơ sở đào tạo mỹ thuật ký hợp đồng thuê làm người mẫu vẽ.</w:t>
      </w:r>
    </w:p>
    <w:p w:rsidR="008B45EB" w:rsidRPr="001363C3" w:rsidRDefault="008B45EB" w:rsidP="001363C3">
      <w:pPr>
        <w:spacing w:before="120" w:after="120" w:line="320" w:lineRule="exact"/>
        <w:ind w:firstLine="567"/>
        <w:jc w:val="both"/>
        <w:rPr>
          <w:sz w:val="28"/>
        </w:rPr>
      </w:pPr>
      <w:r w:rsidRPr="001363C3">
        <w:rPr>
          <w:b/>
          <w:bCs/>
          <w:sz w:val="28"/>
        </w:rPr>
        <w:t>Điều 2. Nguồn kinh phí</w:t>
      </w:r>
    </w:p>
    <w:p w:rsidR="008B45EB" w:rsidRPr="001363C3" w:rsidRDefault="008B45EB" w:rsidP="001363C3">
      <w:pPr>
        <w:spacing w:before="120" w:after="120" w:line="320" w:lineRule="exact"/>
        <w:ind w:firstLine="567"/>
        <w:jc w:val="both"/>
        <w:rPr>
          <w:sz w:val="28"/>
        </w:rPr>
      </w:pPr>
      <w:r w:rsidRPr="001363C3">
        <w:rPr>
          <w:sz w:val="28"/>
        </w:rPr>
        <w:t>1. Nguồn kinh phí trả công giờ người làm mẫu vẽ quy định tại Thông tư này được bố trí trong dự toán ngân sách hằng năm của các cơ sở đào tạo mỹ thuật.</w:t>
      </w:r>
    </w:p>
    <w:p w:rsidR="008B45EB" w:rsidRPr="001363C3" w:rsidRDefault="008B45EB" w:rsidP="001363C3">
      <w:pPr>
        <w:spacing w:before="120" w:after="120" w:line="320" w:lineRule="exact"/>
        <w:ind w:firstLine="567"/>
        <w:jc w:val="both"/>
        <w:rPr>
          <w:sz w:val="28"/>
        </w:rPr>
      </w:pPr>
      <w:r w:rsidRPr="001363C3">
        <w:rPr>
          <w:sz w:val="28"/>
        </w:rPr>
        <w:t xml:space="preserve">2. Ngoài nguồn kinh phí trả công giờ người làm mẫu vẽ theo quy định tại khoản 1 điều này, các cơ sở đào tạo mỹ thuật khai thác các nguồn thu hợp pháp </w:t>
      </w:r>
      <w:r w:rsidRPr="001363C3">
        <w:rPr>
          <w:sz w:val="28"/>
        </w:rPr>
        <w:lastRenderedPageBreak/>
        <w:t>khác và căn cứ vào khả năng thu của các cơ sở để có thể thực hiện trả thêm công giờ người làm mẫu vẽ so với quy định tại Thông tư này.</w:t>
      </w:r>
    </w:p>
    <w:p w:rsidR="008B45EB" w:rsidRPr="001363C3" w:rsidRDefault="008B45EB" w:rsidP="001363C3">
      <w:pPr>
        <w:spacing w:before="120" w:after="120" w:line="320" w:lineRule="exact"/>
        <w:ind w:firstLine="567"/>
        <w:jc w:val="both"/>
        <w:rPr>
          <w:sz w:val="28"/>
        </w:rPr>
      </w:pPr>
      <w:r w:rsidRPr="001363C3">
        <w:rPr>
          <w:sz w:val="28"/>
        </w:rPr>
        <w:t>3. Định mức trả công giờ người làm mẫu vẽ được thống nhất trong toàn đơn vị và được quy định trong Quy chế chi tiêu nội bộ của các cơ sở đào tạo mỹ thuật.</w:t>
      </w:r>
    </w:p>
    <w:p w:rsidR="008B45EB" w:rsidRPr="001363C3" w:rsidRDefault="008B45EB" w:rsidP="001363C3">
      <w:pPr>
        <w:spacing w:before="120" w:after="120" w:line="320" w:lineRule="exact"/>
        <w:ind w:firstLine="567"/>
        <w:jc w:val="both"/>
        <w:rPr>
          <w:sz w:val="28"/>
        </w:rPr>
      </w:pPr>
      <w:r w:rsidRPr="001363C3">
        <w:rPr>
          <w:b/>
          <w:bCs/>
          <w:sz w:val="28"/>
        </w:rPr>
        <w:t>Điều 3. Mức trả công giờ người làm mẫu vẽ</w:t>
      </w:r>
    </w:p>
    <w:p w:rsidR="008B45EB" w:rsidRPr="001363C3" w:rsidRDefault="008B45EB" w:rsidP="001363C3">
      <w:pPr>
        <w:spacing w:before="120" w:after="120" w:line="320" w:lineRule="exact"/>
        <w:ind w:firstLine="567"/>
        <w:jc w:val="both"/>
        <w:rPr>
          <w:sz w:val="28"/>
        </w:rPr>
      </w:pPr>
      <w:r w:rsidRPr="001363C3">
        <w:rPr>
          <w:sz w:val="28"/>
        </w:rPr>
        <w:t>Mức trả công giờ người làm mẫu vẽ được tính theo tiết học. Mỗi giờ công mẫu bằng 1 (một) tiết học (1 tiết học được tính bằng 45 đến 50 phút). Cụ thể như sau:</w:t>
      </w:r>
    </w:p>
    <w:p w:rsidR="008B45EB" w:rsidRPr="001363C3" w:rsidRDefault="008B45EB" w:rsidP="001363C3">
      <w:pPr>
        <w:spacing w:before="120" w:after="120" w:line="320" w:lineRule="exact"/>
        <w:ind w:firstLine="567"/>
        <w:jc w:val="both"/>
        <w:rPr>
          <w:sz w:val="28"/>
        </w:rPr>
      </w:pPr>
      <w:r w:rsidRPr="001363C3">
        <w:rPr>
          <w:sz w:val="28"/>
        </w:rPr>
        <w:t>Đơn vị: đồng/tiết học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15"/>
        <w:gridCol w:w="1488"/>
        <w:gridCol w:w="1575"/>
        <w:gridCol w:w="1280"/>
        <w:gridCol w:w="1222"/>
        <w:gridCol w:w="1237"/>
        <w:gridCol w:w="1270"/>
      </w:tblGrid>
      <w:tr w:rsidR="001363C3" w:rsidRPr="001363C3">
        <w:tc>
          <w:tcPr>
            <w:tcW w:w="654"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rsidR="008B45EB" w:rsidRPr="001363C3" w:rsidRDefault="008B45EB" w:rsidP="001363C3">
            <w:pPr>
              <w:jc w:val="center"/>
              <w:rPr>
                <w:sz w:val="28"/>
              </w:rPr>
            </w:pPr>
            <w:r w:rsidRPr="001363C3">
              <w:rPr>
                <w:b/>
                <w:bCs/>
                <w:sz w:val="28"/>
              </w:rPr>
              <w:t>Giới tính</w:t>
            </w:r>
          </w:p>
        </w:tc>
        <w:tc>
          <w:tcPr>
            <w:tcW w:w="1649"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b/>
                <w:bCs/>
                <w:sz w:val="28"/>
              </w:rPr>
              <w:t>Tư thế ngồi</w:t>
            </w:r>
          </w:p>
        </w:tc>
        <w:tc>
          <w:tcPr>
            <w:tcW w:w="134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b/>
                <w:bCs/>
                <w:sz w:val="28"/>
              </w:rPr>
              <w:t>Tư thế đứng</w:t>
            </w:r>
          </w:p>
        </w:tc>
        <w:tc>
          <w:tcPr>
            <w:tcW w:w="1350"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b/>
                <w:bCs/>
                <w:sz w:val="28"/>
              </w:rPr>
              <w:t>Tư thế nằm</w:t>
            </w:r>
          </w:p>
        </w:tc>
      </w:tr>
      <w:tr w:rsidR="008B45EB" w:rsidRPr="001363C3">
        <w:tblPrEx>
          <w:tblBorders>
            <w:top w:val="none" w:sz="0" w:space="0" w:color="auto"/>
            <w:bottom w:val="none" w:sz="0" w:space="0" w:color="auto"/>
            <w:insideH w:val="none" w:sz="0" w:space="0" w:color="auto"/>
            <w:insideV w:val="none" w:sz="0" w:space="0" w:color="auto"/>
          </w:tblBorders>
        </w:tblPrEx>
        <w:tc>
          <w:tcPr>
            <w:tcW w:w="654"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8B45EB" w:rsidRPr="001363C3" w:rsidRDefault="008B45EB" w:rsidP="001363C3">
            <w:pPr>
              <w:jc w:val="center"/>
              <w:rPr>
                <w:sz w:val="28"/>
              </w:rPr>
            </w:pPr>
          </w:p>
        </w:tc>
        <w:tc>
          <w:tcPr>
            <w:tcW w:w="801"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b/>
                <w:bCs/>
                <w:sz w:val="28"/>
              </w:rPr>
              <w:t>Có</w:t>
            </w:r>
            <w:r w:rsidRPr="001363C3">
              <w:rPr>
                <w:b/>
                <w:bCs/>
                <w:sz w:val="28"/>
              </w:rPr>
              <w:br/>
              <w:t>quần áo</w:t>
            </w:r>
          </w:p>
        </w:tc>
        <w:tc>
          <w:tcPr>
            <w:tcW w:w="84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b/>
                <w:bCs/>
                <w:sz w:val="28"/>
              </w:rPr>
              <w:t>Không</w:t>
            </w:r>
            <w:r w:rsidRPr="001363C3">
              <w:rPr>
                <w:b/>
                <w:bCs/>
                <w:sz w:val="28"/>
              </w:rPr>
              <w:br/>
              <w:t>quần áo</w:t>
            </w:r>
          </w:p>
        </w:tc>
        <w:tc>
          <w:tcPr>
            <w:tcW w:w="689"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b/>
                <w:bCs/>
                <w:sz w:val="28"/>
              </w:rPr>
              <w:t>Có</w:t>
            </w:r>
            <w:r w:rsidRPr="001363C3">
              <w:rPr>
                <w:b/>
                <w:bCs/>
                <w:sz w:val="28"/>
              </w:rPr>
              <w:br/>
              <w:t>quần áo</w:t>
            </w:r>
          </w:p>
        </w:tc>
        <w:tc>
          <w:tcPr>
            <w:tcW w:w="65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b/>
                <w:bCs/>
                <w:sz w:val="28"/>
              </w:rPr>
              <w:t>Không</w:t>
            </w:r>
            <w:r w:rsidRPr="001363C3">
              <w:rPr>
                <w:b/>
                <w:bCs/>
                <w:sz w:val="28"/>
              </w:rPr>
              <w:br/>
              <w:t>quần áo</w:t>
            </w:r>
          </w:p>
        </w:tc>
        <w:tc>
          <w:tcPr>
            <w:tcW w:w="666"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b/>
                <w:bCs/>
                <w:sz w:val="28"/>
              </w:rPr>
              <w:t>Có</w:t>
            </w:r>
            <w:r w:rsidRPr="001363C3">
              <w:rPr>
                <w:b/>
                <w:bCs/>
                <w:sz w:val="28"/>
              </w:rPr>
              <w:br/>
              <w:t>quần áo</w:t>
            </w:r>
          </w:p>
        </w:tc>
        <w:tc>
          <w:tcPr>
            <w:tcW w:w="684"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b/>
                <w:bCs/>
                <w:sz w:val="28"/>
              </w:rPr>
              <w:t>Không</w:t>
            </w:r>
            <w:r w:rsidRPr="001363C3">
              <w:rPr>
                <w:b/>
                <w:bCs/>
                <w:sz w:val="28"/>
              </w:rPr>
              <w:br/>
              <w:t>quần áo</w:t>
            </w:r>
          </w:p>
        </w:tc>
      </w:tr>
      <w:tr w:rsidR="008B45EB" w:rsidRPr="001363C3">
        <w:tblPrEx>
          <w:tblBorders>
            <w:top w:val="none" w:sz="0" w:space="0" w:color="auto"/>
            <w:bottom w:val="none" w:sz="0" w:space="0" w:color="auto"/>
            <w:insideH w:val="none" w:sz="0" w:space="0" w:color="auto"/>
            <w:insideV w:val="none" w:sz="0" w:space="0" w:color="auto"/>
          </w:tblBorders>
        </w:tblPrEx>
        <w:tc>
          <w:tcPr>
            <w:tcW w:w="654"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Nam</w:t>
            </w:r>
          </w:p>
        </w:tc>
        <w:tc>
          <w:tcPr>
            <w:tcW w:w="801"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40.000</w:t>
            </w:r>
          </w:p>
        </w:tc>
        <w:tc>
          <w:tcPr>
            <w:tcW w:w="84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45.000</w:t>
            </w:r>
          </w:p>
        </w:tc>
        <w:tc>
          <w:tcPr>
            <w:tcW w:w="689"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55.000</w:t>
            </w:r>
          </w:p>
        </w:tc>
        <w:tc>
          <w:tcPr>
            <w:tcW w:w="65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65.000</w:t>
            </w:r>
          </w:p>
        </w:tc>
        <w:tc>
          <w:tcPr>
            <w:tcW w:w="666"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45.000</w:t>
            </w:r>
          </w:p>
        </w:tc>
        <w:tc>
          <w:tcPr>
            <w:tcW w:w="684"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50.000</w:t>
            </w:r>
          </w:p>
        </w:tc>
      </w:tr>
      <w:tr w:rsidR="008B45EB" w:rsidRPr="001363C3">
        <w:tblPrEx>
          <w:tblBorders>
            <w:top w:val="none" w:sz="0" w:space="0" w:color="auto"/>
            <w:bottom w:val="none" w:sz="0" w:space="0" w:color="auto"/>
            <w:insideH w:val="none" w:sz="0" w:space="0" w:color="auto"/>
            <w:insideV w:val="none" w:sz="0" w:space="0" w:color="auto"/>
          </w:tblBorders>
        </w:tblPrEx>
        <w:tc>
          <w:tcPr>
            <w:tcW w:w="654"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Nữ</w:t>
            </w:r>
          </w:p>
        </w:tc>
        <w:tc>
          <w:tcPr>
            <w:tcW w:w="801"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45.000</w:t>
            </w:r>
          </w:p>
        </w:tc>
        <w:tc>
          <w:tcPr>
            <w:tcW w:w="84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55.000</w:t>
            </w:r>
          </w:p>
        </w:tc>
        <w:tc>
          <w:tcPr>
            <w:tcW w:w="689"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60.000</w:t>
            </w:r>
          </w:p>
        </w:tc>
        <w:tc>
          <w:tcPr>
            <w:tcW w:w="65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75.000</w:t>
            </w:r>
          </w:p>
        </w:tc>
        <w:tc>
          <w:tcPr>
            <w:tcW w:w="666"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50.000</w:t>
            </w:r>
          </w:p>
        </w:tc>
        <w:tc>
          <w:tcPr>
            <w:tcW w:w="684"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8"/>
              </w:rPr>
            </w:pPr>
            <w:r w:rsidRPr="001363C3">
              <w:rPr>
                <w:sz w:val="28"/>
              </w:rPr>
              <w:t>65.000</w:t>
            </w:r>
          </w:p>
        </w:tc>
      </w:tr>
    </w:tbl>
    <w:p w:rsidR="008B45EB" w:rsidRPr="001363C3" w:rsidRDefault="008B45EB" w:rsidP="001363C3">
      <w:pPr>
        <w:spacing w:before="100" w:after="100" w:line="300" w:lineRule="exact"/>
        <w:ind w:firstLine="567"/>
        <w:jc w:val="both"/>
        <w:rPr>
          <w:sz w:val="28"/>
        </w:rPr>
      </w:pPr>
      <w:r w:rsidRPr="001363C3">
        <w:rPr>
          <w:sz w:val="28"/>
        </w:rPr>
        <w:t>Ngoài các mức trả công giờ trên, về mùa đông từ ngày 05/10 năm trước đến ngày 31/3 năm sau, mỗi người mẫu vẽ được hưởng thêm:</w:t>
      </w:r>
    </w:p>
    <w:p w:rsidR="008B45EB" w:rsidRPr="001363C3" w:rsidRDefault="008B45EB" w:rsidP="001363C3">
      <w:pPr>
        <w:spacing w:before="100" w:after="100" w:line="300" w:lineRule="exact"/>
        <w:ind w:firstLine="567"/>
        <w:jc w:val="both"/>
        <w:rPr>
          <w:sz w:val="28"/>
        </w:rPr>
      </w:pPr>
      <w:r w:rsidRPr="001363C3">
        <w:rPr>
          <w:sz w:val="28"/>
        </w:rPr>
        <w:t>- Loại có quần áo: 15.000đồng/tiết học.</w:t>
      </w:r>
    </w:p>
    <w:p w:rsidR="008B45EB" w:rsidRPr="001363C3" w:rsidRDefault="008B45EB" w:rsidP="001363C3">
      <w:pPr>
        <w:spacing w:before="100" w:after="100" w:line="300" w:lineRule="exact"/>
        <w:ind w:firstLine="567"/>
        <w:jc w:val="both"/>
        <w:rPr>
          <w:sz w:val="28"/>
        </w:rPr>
      </w:pPr>
      <w:r w:rsidRPr="001363C3">
        <w:rPr>
          <w:sz w:val="28"/>
        </w:rPr>
        <w:t>- Loại không có quần áo: 25.000đồng/tiết học.</w:t>
      </w:r>
    </w:p>
    <w:p w:rsidR="008B45EB" w:rsidRPr="001363C3" w:rsidRDefault="008B45EB" w:rsidP="001363C3">
      <w:pPr>
        <w:spacing w:before="100" w:after="100" w:line="300" w:lineRule="exact"/>
        <w:ind w:firstLine="567"/>
        <w:jc w:val="both"/>
        <w:rPr>
          <w:sz w:val="28"/>
        </w:rPr>
      </w:pPr>
      <w:r w:rsidRPr="001363C3">
        <w:rPr>
          <w:b/>
          <w:bCs/>
          <w:sz w:val="28"/>
        </w:rPr>
        <w:t>Điều 4. Hiệu lực thi hành</w:t>
      </w:r>
    </w:p>
    <w:p w:rsidR="008B45EB" w:rsidRPr="001363C3" w:rsidRDefault="008B45EB" w:rsidP="001363C3">
      <w:pPr>
        <w:spacing w:before="100" w:after="100" w:line="300" w:lineRule="exact"/>
        <w:ind w:firstLine="567"/>
        <w:jc w:val="both"/>
        <w:rPr>
          <w:sz w:val="28"/>
        </w:rPr>
      </w:pPr>
      <w:r w:rsidRPr="001363C3">
        <w:rPr>
          <w:sz w:val="28"/>
        </w:rPr>
        <w:t>1. Thông tư này có hiệu lực thi hành từ ngày 01 tháng 01 năm 2014 và thay thế Thông tư số 156/1999/TT-BVHTT ngày 26 tháng 10 năm 1999 của Bộ Văn hóa - Thông tin hướng dẫn thực hiện chế độ trả công giờ người làm mẫu vẽ trong các trường mỹ thuật.</w:t>
      </w:r>
    </w:p>
    <w:p w:rsidR="008B45EB" w:rsidRPr="001363C3" w:rsidRDefault="008B45EB" w:rsidP="001363C3">
      <w:pPr>
        <w:spacing w:before="100" w:after="100" w:line="300" w:lineRule="exact"/>
        <w:ind w:firstLine="567"/>
        <w:jc w:val="both"/>
        <w:rPr>
          <w:sz w:val="28"/>
        </w:rPr>
      </w:pPr>
      <w:r w:rsidRPr="001363C3">
        <w:rPr>
          <w:sz w:val="28"/>
        </w:rPr>
        <w:t>2. Trong quá trình thực hiện, nếu có khó khăn, vướng mắc đề nghị các cơ sở đào tạo, tổ chức, cá nhân có liên quan phản ánh về Bộ Văn hóa, Thể thao và Du lịch để nghiên cứu sửa đổi, bổ sung cho phù hợp./.</w:t>
      </w:r>
    </w:p>
    <w:p w:rsidR="008B45EB" w:rsidRPr="001363C3" w:rsidRDefault="008B45EB" w:rsidP="001363C3">
      <w:pPr>
        <w:spacing w:before="120" w:after="120" w:line="320" w:lineRule="exact"/>
        <w:ind w:firstLine="567"/>
        <w:jc w:val="both"/>
        <w:rPr>
          <w:sz w:val="28"/>
        </w:rPr>
      </w:pPr>
      <w:r w:rsidRPr="001363C3">
        <w:rPr>
          <w:sz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7"/>
        <w:gridCol w:w="4770"/>
      </w:tblGrid>
      <w:tr w:rsidR="008B45EB" w:rsidRPr="001363C3">
        <w:tc>
          <w:tcPr>
            <w:tcW w:w="2432" w:type="pct"/>
            <w:tcBorders>
              <w:top w:val="nil"/>
              <w:left w:val="nil"/>
              <w:bottom w:val="nil"/>
              <w:right w:val="nil"/>
              <w:tl2br w:val="nil"/>
              <w:tr2bl w:val="nil"/>
            </w:tcBorders>
            <w:shd w:val="clear" w:color="auto" w:fill="auto"/>
            <w:tcMar>
              <w:top w:w="0" w:type="dxa"/>
              <w:left w:w="108" w:type="dxa"/>
              <w:bottom w:w="0" w:type="dxa"/>
              <w:right w:w="108" w:type="dxa"/>
            </w:tcMar>
          </w:tcPr>
          <w:p w:rsidR="008B45EB" w:rsidRPr="001363C3" w:rsidRDefault="008B45EB" w:rsidP="001363C3">
            <w:pPr>
              <w:rPr>
                <w:sz w:val="22"/>
              </w:rPr>
            </w:pPr>
            <w:r w:rsidRPr="001363C3">
              <w:rPr>
                <w:sz w:val="22"/>
              </w:rPr>
              <w:t> </w:t>
            </w:r>
          </w:p>
          <w:p w:rsidR="008B45EB" w:rsidRPr="001363C3" w:rsidRDefault="008B45EB" w:rsidP="001363C3">
            <w:pPr>
              <w:rPr>
                <w:sz w:val="22"/>
              </w:rPr>
            </w:pPr>
            <w:r w:rsidRPr="001363C3">
              <w:rPr>
                <w:b/>
                <w:bCs/>
                <w:i/>
                <w:iCs/>
              </w:rPr>
              <w:t>Nơi nhận:</w:t>
            </w:r>
            <w:r w:rsidRPr="001363C3">
              <w:rPr>
                <w:b/>
                <w:bCs/>
                <w:i/>
                <w:iCs/>
                <w:sz w:val="22"/>
              </w:rPr>
              <w:br/>
            </w:r>
            <w:r w:rsidRPr="001363C3">
              <w:rPr>
                <w:sz w:val="22"/>
              </w:rPr>
              <w:t>- Văn phòng Chủ tịch nước;</w:t>
            </w:r>
            <w:r w:rsidRPr="001363C3">
              <w:rPr>
                <w:sz w:val="22"/>
              </w:rPr>
              <w:br/>
              <w:t>- Văn phòng Chính phủ;</w:t>
            </w:r>
            <w:r w:rsidRPr="001363C3">
              <w:rPr>
                <w:sz w:val="22"/>
              </w:rPr>
              <w:br/>
              <w:t>- Văn phòng Quốc hội;</w:t>
            </w:r>
            <w:r w:rsidRPr="001363C3">
              <w:rPr>
                <w:sz w:val="22"/>
              </w:rPr>
              <w:br/>
              <w:t>- UBVHGDTNTNNĐ của Quốc hội;</w:t>
            </w:r>
            <w:r w:rsidRPr="001363C3">
              <w:rPr>
                <w:sz w:val="22"/>
              </w:rPr>
              <w:br/>
              <w:t>- Ban Tuyên giáo TƯ;</w:t>
            </w:r>
            <w:r w:rsidRPr="001363C3">
              <w:rPr>
                <w:sz w:val="22"/>
              </w:rPr>
              <w:br/>
              <w:t>- Các Bộ, cơ quan ngang Bộ;</w:t>
            </w:r>
            <w:r w:rsidRPr="001363C3">
              <w:rPr>
                <w:sz w:val="22"/>
              </w:rPr>
              <w:br/>
              <w:t>- Cục Kiểm tra Văn bản QPPL (Bộ Tư pháp);</w:t>
            </w:r>
            <w:r w:rsidRPr="001363C3">
              <w:rPr>
                <w:sz w:val="22"/>
              </w:rPr>
              <w:br/>
              <w:t>- Cơ quan Trung ương của các đoàn thể;</w:t>
            </w:r>
            <w:r w:rsidRPr="001363C3">
              <w:rPr>
                <w:sz w:val="22"/>
              </w:rPr>
              <w:br/>
              <w:t>- Website Chính phủ;</w:t>
            </w:r>
            <w:r w:rsidRPr="001363C3">
              <w:rPr>
                <w:sz w:val="22"/>
              </w:rPr>
              <w:br/>
              <w:t>- Công báo;</w:t>
            </w:r>
            <w:r w:rsidRPr="001363C3">
              <w:rPr>
                <w:sz w:val="22"/>
              </w:rPr>
              <w:br/>
              <w:t>- Như Điều 4 (để thực hiện);</w:t>
            </w:r>
            <w:r w:rsidRPr="001363C3">
              <w:rPr>
                <w:sz w:val="22"/>
              </w:rPr>
              <w:br/>
              <w:t>- Lưu: VT, ĐT, TL (100).</w:t>
            </w:r>
          </w:p>
        </w:tc>
        <w:tc>
          <w:tcPr>
            <w:tcW w:w="2568" w:type="pct"/>
            <w:tcBorders>
              <w:top w:val="nil"/>
              <w:left w:val="nil"/>
              <w:bottom w:val="nil"/>
              <w:right w:val="nil"/>
              <w:tl2br w:val="nil"/>
              <w:tr2bl w:val="nil"/>
            </w:tcBorders>
            <w:shd w:val="clear" w:color="auto" w:fill="auto"/>
            <w:tcMar>
              <w:top w:w="0" w:type="dxa"/>
              <w:left w:w="108" w:type="dxa"/>
              <w:bottom w:w="0" w:type="dxa"/>
              <w:right w:w="108" w:type="dxa"/>
            </w:tcMar>
          </w:tcPr>
          <w:p w:rsidR="008B45EB" w:rsidRPr="001363C3" w:rsidRDefault="008B45EB" w:rsidP="001363C3">
            <w:pPr>
              <w:jc w:val="center"/>
              <w:rPr>
                <w:sz w:val="26"/>
              </w:rPr>
            </w:pPr>
            <w:r w:rsidRPr="001363C3">
              <w:rPr>
                <w:b/>
                <w:bCs/>
                <w:sz w:val="26"/>
              </w:rPr>
              <w:t>BỘ TRƯỞNG</w:t>
            </w:r>
            <w:r w:rsidRPr="001363C3">
              <w:rPr>
                <w:b/>
                <w:bCs/>
                <w:sz w:val="26"/>
              </w:rPr>
              <w:br/>
            </w:r>
            <w:r w:rsidRPr="001363C3">
              <w:rPr>
                <w:b/>
                <w:bCs/>
                <w:sz w:val="26"/>
              </w:rPr>
              <w:br/>
            </w:r>
            <w:r w:rsidR="001363C3" w:rsidRPr="001363C3">
              <w:rPr>
                <w:b/>
                <w:bCs/>
                <w:i/>
                <w:sz w:val="26"/>
              </w:rPr>
              <w:t>(Đã ký)</w:t>
            </w:r>
            <w:r w:rsidR="001363C3">
              <w:rPr>
                <w:b/>
                <w:bCs/>
                <w:sz w:val="26"/>
              </w:rPr>
              <w:t xml:space="preserve"> </w:t>
            </w:r>
            <w:r w:rsidRPr="001363C3">
              <w:rPr>
                <w:b/>
                <w:bCs/>
                <w:sz w:val="26"/>
              </w:rPr>
              <w:br/>
            </w:r>
            <w:r w:rsidRPr="001363C3">
              <w:rPr>
                <w:b/>
                <w:bCs/>
                <w:sz w:val="26"/>
              </w:rPr>
              <w:br/>
              <w:t>Hoàng Tuấn Anh</w:t>
            </w:r>
          </w:p>
        </w:tc>
      </w:tr>
    </w:tbl>
    <w:p w:rsidR="008B45EB" w:rsidRPr="001363C3" w:rsidRDefault="008B45EB" w:rsidP="001363C3">
      <w:pPr>
        <w:spacing w:before="120" w:after="120" w:line="320" w:lineRule="exact"/>
        <w:ind w:firstLine="567"/>
        <w:jc w:val="both"/>
        <w:rPr>
          <w:sz w:val="28"/>
        </w:rPr>
      </w:pPr>
      <w:r w:rsidRPr="001363C3">
        <w:rPr>
          <w:sz w:val="28"/>
        </w:rPr>
        <w:t> </w:t>
      </w:r>
    </w:p>
    <w:sectPr w:rsidR="008B45EB" w:rsidRPr="001363C3" w:rsidSect="001363C3">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63C3"/>
    <w:rsid w:val="001363C3"/>
    <w:rsid w:val="00551D1C"/>
    <w:rsid w:val="008B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D465F0C-5568-43E7-946D-A3BC38386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2085DF-3EDF-4A1F-A455-4B706977D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5BCC4ED-D683-4713-B6A0-C26378E40C56}">
  <ds:schemaRefs>
    <ds:schemaRef ds:uri="http://schemas.microsoft.com/sharepoint/v3/contenttype/forms"/>
  </ds:schemaRefs>
</ds:datastoreItem>
</file>

<file path=customXml/itemProps3.xml><?xml version="1.0" encoding="utf-8"?>
<ds:datastoreItem xmlns:ds="http://schemas.openxmlformats.org/officeDocument/2006/customXml" ds:itemID="{945E4A93-29D1-4120-9DA2-D620D0DD3B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BỘ VĂN HÓA, THỂ THAO </vt:lpstr>
    </vt:vector>
  </TitlesOfParts>
  <Company>HOME</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VĂN HÓA, THỂ THAO </dc:title>
  <dc:subject/>
  <dc:creator>User</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