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EXECUTIVE SUMMARY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9CCE3"/>
                <w:sz w:val="24"/>
                <w:szCs w:val="24"/>
              </w:rPr>
              <w:t xml:space="preserve">Skycity Restaurants &amp; Bars — Channel Analytics &amp; Performance Intelligence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i/>
                <w:iCs/>
                <w:color w:val="D6EAF8"/>
                <w:sz w:val="18"/>
                <w:szCs w:val="18"/>
              </w:rPr>
              <w:t xml:space="preserve">Prepared for Government &amp; Executive Stakeholders  |  1,696 Outlets  |  4 Sub-regions  |  4 Ordering Channels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SITUATION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Skycity operates 1,696 food and beverage outlets across four Auckland sub-regions — CBD, North Shore, South Auckland, and West Auckland — spanning eight cuisine types and multiple business segments including cafes, QSRs, and ghost kitchens. Restaurants access customers through four ordering channels: In-Store dining, UberEats, DoorDash, and Self-Delivery.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comprehensive data analysis of the entire network has been completed to inform channel strategy, profitability optimisation, and operational risk management.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KEY NUMBERS AT A GLANCE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Monthly Orders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2,019,134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Network-wide demand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Avg. Orders per Restaurant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1,191 / month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for outlet performance targeting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Avg. Order Value (AOV)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$38.52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per transaction across all channels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UberEats Platform Share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39.5% of all orders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largest channel by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In-Store Net Profit (avg)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$2,042 – $2,379 / month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Highest-profit channel across all regions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Self-Delivery Net Profit (avg)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$1,891 – $2,297 / month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Near-parity with In-Store; significantly underutilised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UberEats Net Profit — CBD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$53.83 / month avg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profitability gap in highest-cost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High-Dependency Restaurants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(0% of network)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outlet critically reliant on a single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Moderately Concentrated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471 restaurants (27.8%)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Watch-list cohort for proactive channel management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F4EC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CRITICAL FINDINGS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Aggregators dominate volume but destroy margin.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UberEats and DoorDash collectively handle 61% of all orders. However, their combined net profit contribution is a fraction of In-Store or Self-Delivery returns. In the CBD, the average UberEats net profit is $53.83 per restaurant per month — compared to $2,042.85 for In-Store. The network is trading margin for reach at scale.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Self-Delivery is the most underutilised high-value channel.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Self-Delivery generates $1,891 to $2,297 in average monthly net profit across regions — approaching In-Store levels — while commanding only 20% of total order volume. This represents the single largest untapped profitability opportunity in the portfolio.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Certain cuisine categories face acute platform dependency risk.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Thai, Indian, Kebabs/Mediterranean, and Japanese outlets direct 73–88% of their orders through third-party platforms, exposing them to sustained commission-driven margin erosion. Pizza restaurants — with 34% Self-Delivery share — demonstrate that cuisine-appropriate owned-channel strategies are viable.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The network baseline is resilient, but not complacent.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 restaurant exhibits critical single-channel dependency (&gt;70%). However, 471 restaurants sit in the moderate-dependency zone and require active monitoring.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Regional economics vary materially.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West Auckland and South Auckland offer the strongest Self-Delivery unit economics. CBD restaurants operate under the most compressed margins due to higher operating costs and lower aggregator net profits. Regional strategies must be differentiated, not uniform.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4"/>
              <w:left w:val="single" w:color="B7770D" w:sz="4"/>
              <w:bottom w:val="single" w:color="B7770D" w:sz="4"/>
              <w:right w:val="single" w:color="B7770D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STRATEGIC RECOMMENDATIONS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6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Expand Self-Delivery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Short-Medium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 high-margin channel share; reduce commission outflow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Cuisine-Specific Platform Strategies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 aggregator dependency for Thai, Indian, Kebabs, Japanese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CBD Profitability Recovery Programme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Shift CBD volume toward In-Store and Self-Delivery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Moderate-Dependency Cohort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Prevent 471 restaurants from escalating to high-risk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Regional Differentiated Campaigns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Optimise channel mix per sub-region's economic profile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Profit KPI Dashboard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Term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 real-time profitability tracking per channel per outlet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single" w:color="1A3C5E" w:sz="4"/>
              <w:right w:val="single" w:color="1A3C5E" w:sz="4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BOTTOM LINE FOR STAKEHOLDERS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Skycity restaurant and bar network processes over 2 million orders monthly and is structurally sound, with no critically vulnerable outlets. However, the current channel mix is optimised for volume, not profitability.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Shifting even 10–15% of aggregator-channelled volume toward Self-Delivery or In-Store across the network would generate a material improvement in total net profit — potentially adding millions in monthly returns across 1,696 outlets — without requiring new customer acquisition.</w:t>
      </w:r>
    </w:p>
    <w:p>
      <w:pPr>
        <w:spacing w:after="10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data is clear: the highest-value opportunity in the Skycity portfolio is not growth — it is margin recovery through smarter channel allocation.</w:t>
      </w:r>
    </w:p>
    <w:p>
      <w:pPr>
        <w:spacing w:after="60" w:before="60"/>
      </w:pPr>
      <w:r>
        <w:t xml:space="preserve"/>
      </w:r>
    </w:p>
    <w:p>
      <w:pPr>
        <w:pBdr>
          <w:top w:val="single" w:color="1A3C5E" w:sz="6" w:space="1"/>
        </w:pBdr>
        <w:spacing w:before="1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Full methodology, EDA, and supporting analysis available in the accompanying Research Paper and live Streamlit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2026-04-04T09:03:37.207Z</dcterms:created>
  <dcterms:modified xsi:type="dcterms:W3CDTF">2026-04-04T09:03:37.207Z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