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1F4E79"/>
          <w:sz w:val="52"/>
          <w:szCs w:val="52"/>
        </w:rPr>
        <w:t xml:space="preserve">SKYCITY RESTAURANTS &amp; BARS</w:t>
      </w:r>
    </w:p>
    <w:p>
      <w:pPr>
        <w:spacing w:after="60" w:before="60"/>
        <w:jc w:val="center"/>
      </w:pPr>
      <w:r>
        <w:rPr>
          <w:rFonts w:ascii="Arial" w:cs="Arial" w:eastAsia="Arial" w:hAnsi="Arial"/>
          <w:color w:val="2E75B6"/>
          <w:sz w:val="36"/>
          <w:szCs w:val="36"/>
        </w:rPr>
        <w:t xml:space="preserve">Channel Analytics &amp; Revenue Intelligence Report</w:t>
      </w:r>
    </w:p>
    <w:p>
      <w:pPr>
        <w:pBdr>
          <w:bottom w:val="single" w:color="1F4E79" w:sz="8" w:space="1"/>
        </w:pBdr>
        <w:spacing w:after="240" w:before="40"/>
        <w:jc w:val="center"/>
      </w:pPr>
      <w:r>
        <w:rPr>
          <w:rFonts w:ascii="Arial" w:cs="Arial" w:eastAsia="Arial" w:hAnsi="Arial"/>
          <w:i/>
          <w:iCs/>
          <w:color w:val="555555"/>
          <w:sz w:val="22"/>
          <w:szCs w:val="22"/>
        </w:rPr>
        <w:t xml:space="preserve">Exploratory Data Analysis | Insights | Strategic Recommendations</w:t>
      </w:r>
    </w:p>
    <w:p>
      <w:pPr>
        <w:spacing w:after="80" w:before="80"/>
      </w:pPr>
      <w:r>
        <w:t xml:space="preserve"/>
      </w:r>
    </w:p>
    <w:p>
      <w:pPr>
        <w:spacing w:after="60" w:before="60"/>
        <w:jc w:val="center"/>
      </w:pPr>
      <w:r>
        <w:rPr>
          <w:rFonts w:ascii="Arial" w:cs="Arial" w:eastAsia="Arial" w:hAnsi="Arial"/>
          <w:color w:val="333333"/>
          <w:sz w:val="22"/>
          <w:szCs w:val="22"/>
        </w:rPr>
        <w:t xml:space="preserve">Dataset: 1,696 Restaurants &amp; Bars</w:t>
      </w:r>
    </w:p>
    <w:p>
      <w:pPr>
        <w:spacing w:after="60" w:before="60"/>
        <w:jc w:val="center"/>
      </w:pPr>
      <w:r>
        <w:rPr>
          <w:rFonts w:ascii="Arial" w:cs="Arial" w:eastAsia="Arial" w:hAnsi="Arial"/>
          <w:color w:val="333333"/>
          <w:sz w:val="22"/>
          <w:szCs w:val="22"/>
        </w:rPr>
        <w:t xml:space="preserve">Regions Analysed: CBD | North Shore | South Auckland | West Auckland</w:t>
      </w:r>
    </w:p>
    <w:p>
      <w:pPr>
        <w:spacing w:after="60" w:before="60"/>
        <w:jc w:val="center"/>
      </w:pPr>
      <w:r>
        <w:rPr>
          <w:rFonts w:ascii="Arial" w:cs="Arial" w:eastAsia="Arial" w:hAnsi="Arial"/>
          <w:color w:val="333333"/>
          <w:sz w:val="22"/>
          <w:szCs w:val="22"/>
        </w:rPr>
        <w:t xml:space="preserve">Channels: In-Store | UberEats | DoorDash | Self-Delivery</w:t>
      </w:r>
    </w:p>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Abstract</w:t>
      </w:r>
    </w:p>
    <w:p>
      <w:pPr>
        <w:spacing w:after="100" w:before="60"/>
        <w:jc w:val="both"/>
      </w:pPr>
      <w:r>
        <w:rPr>
          <w:rFonts w:ascii="Arial" w:cs="Arial" w:eastAsia="Arial" w:hAnsi="Arial"/>
          <w:sz w:val="22"/>
          <w:szCs w:val="22"/>
        </w:rPr>
        <w:t xml:space="preserve">This research paper presents a comprehensive exploratory data analysis (EDA) of the Skycity Restaurants &amp; Bars ecosystem, covering 1,696 food and beverage outlets distributed across four sub-regions in Auckland: CBD, North Shore, South Auckland, and West Auckland. The study investigates ordering channel behaviour — In-Store, UberEats, DoorDash, and Self-Delivery — across eight cuisine types and four business segments.</w:t>
      </w:r>
    </w:p>
    <w:p>
      <w:pPr>
        <w:spacing w:after="100" w:before="60"/>
        <w:jc w:val="both"/>
      </w:pPr>
      <w:r>
        <w:rPr>
          <w:rFonts w:ascii="Arial" w:cs="Arial" w:eastAsia="Arial" w:hAnsi="Arial"/>
          <w:sz w:val="22"/>
          <w:szCs w:val="22"/>
        </w:rPr>
        <w:t xml:space="preserve">Key findings reveal that third-party aggregator platforms collectively dominate the order mix, with UberEats alone commanding 40.3% of total demand. Despite high aggregator volume, In-Store orders yield significantly higher net profit margins, with average in-store net profit exceeding $2,000 per restaurant per month compared to below $220 for UberEats. Self-Delivery emerges as a strategically superior channel for profitability in suburban regions. No restaurants are critically dependent on a single channel — 72.2% of outlets maintain a diversified channel portfolio.</w:t>
      </w:r>
    </w:p>
    <w:p>
      <w:pPr>
        <w:spacing w:after="100" w:before="60"/>
        <w:jc w:val="both"/>
      </w:pPr>
      <w:r>
        <w:rPr>
          <w:rFonts w:ascii="Arial" w:cs="Arial" w:eastAsia="Arial" w:hAnsi="Arial"/>
          <w:sz w:val="22"/>
          <w:szCs w:val="22"/>
        </w:rPr>
        <w:t xml:space="preserve">The paper concludes with data-driven recommendations for channel optimisation, regional targeting, cuisine-specific strategies, and risk mitigation to guide Skycity's operational and commercial planning.</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Background</w:t>
      </w:r>
    </w:p>
    <w:p>
      <w:pPr>
        <w:spacing w:after="100" w:before="60"/>
        <w:jc w:val="both"/>
      </w:pPr>
      <w:r>
        <w:rPr>
          <w:rFonts w:ascii="Arial" w:cs="Arial" w:eastAsia="Arial" w:hAnsi="Arial"/>
          <w:sz w:val="22"/>
          <w:szCs w:val="22"/>
        </w:rPr>
        <w:t xml:space="preserve">The food and beverage industry has undergone a structural transformation driven by the proliferation of third-party delivery aggregators. Platforms such as UberEats and DoorDash now mediate a significant share of consumer demand, fundamentally altering the economics of restaurant operations. For multi-venue operators such as Skycity, understanding the interplay between ordering channels, geography, cuisine type, and profitability is essential for sustainable growth.</w:t>
      </w:r>
    </w:p>
    <w:p>
      <w:pPr>
        <w:pStyle w:val="Heading2"/>
        <w:spacing w:after="80" w:before="240"/>
      </w:pPr>
      <w:r>
        <w:rPr>
          <w:rFonts w:ascii="Arial" w:cs="Arial" w:eastAsia="Arial" w:hAnsi="Arial"/>
          <w:b/>
          <w:bCs/>
          <w:color w:val="2E75B6"/>
          <w:sz w:val="26"/>
          <w:szCs w:val="26"/>
        </w:rPr>
        <w:t xml:space="preserve">1.2 Objectives</w:t>
      </w:r>
    </w:p>
    <w:p>
      <w:pPr>
        <w:spacing w:after="100" w:before="60"/>
        <w:jc w:val="left"/>
      </w:pPr>
      <w:r>
        <w:rPr>
          <w:rFonts w:ascii="Arial" w:cs="Arial" w:eastAsia="Arial" w:hAnsi="Arial"/>
          <w:sz w:val="22"/>
          <w:szCs w:val="22"/>
        </w:rPr>
        <w:t xml:space="preserve">This study pursues the following primary and secondary objectives:</w:t>
      </w:r>
    </w:p>
    <w:p>
      <w:pPr>
        <w:spacing w:after="100" w:before="60"/>
        <w:jc w:val="left"/>
      </w:pPr>
      <w:r>
        <w:rPr>
          <w:rFonts w:ascii="Arial" w:cs="Arial" w:eastAsia="Arial" w:hAnsi="Arial"/>
          <w:b/>
          <w:bCs/>
          <w:sz w:val="22"/>
          <w:szCs w:val="22"/>
        </w:rPr>
        <w:t xml:space="preserve">Primary Objectives:</w:t>
      </w:r>
    </w:p>
    <w:p>
      <w:pPr>
        <w:pStyle w:val="ListParagraph"/>
        <w:numPr>
          <w:ilvl w:val="0"/>
          <w:numId w:val="2"/>
        </w:numPr>
        <w:spacing w:after="40" w:before="40"/>
      </w:pPr>
      <w:r>
        <w:rPr>
          <w:rFonts w:ascii="Arial" w:cs="Arial" w:eastAsia="Arial" w:hAnsi="Arial"/>
          <w:sz w:val="22"/>
          <w:szCs w:val="22"/>
        </w:rPr>
        <w:t xml:space="preserve">Quantify total order volume by channel across the Skycity network</w:t>
      </w:r>
    </w:p>
    <w:p>
      <w:pPr>
        <w:pStyle w:val="ListParagraph"/>
        <w:numPr>
          <w:ilvl w:val="0"/>
          <w:numId w:val="2"/>
        </w:numPr>
        <w:spacing w:after="40" w:before="40"/>
      </w:pPr>
      <w:r>
        <w:rPr>
          <w:rFonts w:ascii="Arial" w:cs="Arial" w:eastAsia="Arial" w:hAnsi="Arial"/>
          <w:sz w:val="22"/>
          <w:szCs w:val="22"/>
        </w:rPr>
        <w:t xml:space="preserve">Measure channel share distribution across restaurants</w:t>
      </w:r>
    </w:p>
    <w:p>
      <w:pPr>
        <w:pStyle w:val="ListParagraph"/>
        <w:numPr>
          <w:ilvl w:val="0"/>
          <w:numId w:val="2"/>
        </w:numPr>
        <w:spacing w:after="40" w:before="40"/>
      </w:pPr>
      <w:r>
        <w:rPr>
          <w:rFonts w:ascii="Arial" w:cs="Arial" w:eastAsia="Arial" w:hAnsi="Arial"/>
          <w:sz w:val="22"/>
          <w:szCs w:val="22"/>
        </w:rPr>
        <w:t xml:space="preserve">Identify dominant ordering channels by geography</w:t>
      </w:r>
    </w:p>
    <w:p>
      <w:pPr>
        <w:spacing w:after="100" w:before="60"/>
        <w:jc w:val="left"/>
      </w:pPr>
      <w:r>
        <w:rPr>
          <w:rFonts w:ascii="Arial" w:cs="Arial" w:eastAsia="Arial" w:hAnsi="Arial"/>
          <w:b/>
          <w:bCs/>
          <w:sz w:val="22"/>
          <w:szCs w:val="22"/>
        </w:rPr>
        <w:t xml:space="preserve">Secondary Objectives:</w:t>
      </w:r>
    </w:p>
    <w:p>
      <w:pPr>
        <w:pStyle w:val="ListParagraph"/>
        <w:numPr>
          <w:ilvl w:val="0"/>
          <w:numId w:val="2"/>
        </w:numPr>
        <w:spacing w:after="40" w:before="40"/>
      </w:pPr>
      <w:r>
        <w:rPr>
          <w:rFonts w:ascii="Arial" w:cs="Arial" w:eastAsia="Arial" w:hAnsi="Arial"/>
          <w:sz w:val="22"/>
          <w:szCs w:val="22"/>
        </w:rPr>
        <w:t xml:space="preserve">Compare channel mixes across cuisine types</w:t>
      </w:r>
    </w:p>
    <w:p>
      <w:pPr>
        <w:pStyle w:val="ListParagraph"/>
        <w:numPr>
          <w:ilvl w:val="0"/>
          <w:numId w:val="2"/>
        </w:numPr>
        <w:spacing w:after="40" w:before="40"/>
      </w:pPr>
      <w:r>
        <w:rPr>
          <w:rFonts w:ascii="Arial" w:cs="Arial" w:eastAsia="Arial" w:hAnsi="Arial"/>
          <w:sz w:val="22"/>
          <w:szCs w:val="22"/>
        </w:rPr>
        <w:t xml:space="preserve">Assess channel diversity versus dependency</w:t>
      </w:r>
    </w:p>
    <w:p>
      <w:pPr>
        <w:pStyle w:val="ListParagraph"/>
        <w:numPr>
          <w:ilvl w:val="0"/>
          <w:numId w:val="2"/>
        </w:numPr>
        <w:spacing w:after="40" w:before="40"/>
      </w:pPr>
      <w:r>
        <w:rPr>
          <w:rFonts w:ascii="Arial" w:cs="Arial" w:eastAsia="Arial" w:hAnsi="Arial"/>
          <w:sz w:val="22"/>
          <w:szCs w:val="22"/>
        </w:rPr>
        <w:t xml:space="preserve">Support strategic channel planning through risk and opportunity identification</w:t>
      </w:r>
    </w:p>
    <w:p>
      <w:pPr>
        <w:pStyle w:val="Heading2"/>
        <w:spacing w:after="80" w:before="240"/>
      </w:pPr>
      <w:r>
        <w:rPr>
          <w:rFonts w:ascii="Arial" w:cs="Arial" w:eastAsia="Arial" w:hAnsi="Arial"/>
          <w:b/>
          <w:bCs/>
          <w:color w:val="2E75B6"/>
          <w:sz w:val="26"/>
          <w:szCs w:val="26"/>
        </w:rPr>
        <w:t xml:space="preserve">1.3 Dataset Overview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Restaurants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1,696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Cuisine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(Burgers, Chicken Dishes, Chinese, Indian, Japanese, Kebabs/Mediterranean, Pizza, Thai)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Business Segments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Cafe, QSR, Ghost Kitchen, (and others)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Sub-regions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CBD, North Shore, South Auckland, West Auckland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Channels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In-Store, UberEats, DoorDash, Self-Delivery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Order Value (AOV)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$38.52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Monthly Orders per Restaurant (avg)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1,191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Values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(clean dataset)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Duplicate Records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2. Exploratory Data Analysis</w:t>
      </w:r>
    </w:p>
    <w:p>
      <w:pPr>
        <w:pStyle w:val="Heading2"/>
        <w:spacing w:after="80" w:before="240"/>
      </w:pPr>
      <w:r>
        <w:rPr>
          <w:rFonts w:ascii="Arial" w:cs="Arial" w:eastAsia="Arial" w:hAnsi="Arial"/>
          <w:b/>
          <w:bCs/>
          <w:color w:val="2E75B6"/>
          <w:sz w:val="26"/>
          <w:szCs w:val="26"/>
        </w:rPr>
        <w:t xml:space="preserve">2.1 Data Quality Assessment</w:t>
      </w:r>
    </w:p>
    <w:p>
      <w:pPr>
        <w:spacing w:after="100" w:before="60"/>
        <w:jc w:val="left"/>
      </w:pPr>
      <w:r>
        <w:rPr>
          <w:rFonts w:ascii="Arial" w:cs="Arial" w:eastAsia="Arial" w:hAnsi="Arial"/>
          <w:sz w:val="22"/>
          <w:szCs w:val="22"/>
        </w:rPr>
        <w:t xml:space="preserve">The dataset was rigorously validated prior to analysis. Key checks performed included:</w:t>
      </w:r>
    </w:p>
    <w:p>
      <w:pPr>
        <w:pStyle w:val="ListParagraph"/>
        <w:numPr>
          <w:ilvl w:val="0"/>
          <w:numId w:val="2"/>
        </w:numPr>
        <w:spacing w:after="40" w:before="40"/>
      </w:pPr>
      <w:r>
        <w:rPr>
          <w:rFonts w:ascii="Arial" w:cs="Arial" w:eastAsia="Arial" w:hAnsi="Arial"/>
          <w:sz w:val="22"/>
          <w:szCs w:val="22"/>
        </w:rPr>
        <w:t xml:space="preserve">Null value check: Zero missing values across all 30 columns</w:t>
      </w:r>
    </w:p>
    <w:p>
      <w:pPr>
        <w:pStyle w:val="ListParagraph"/>
        <w:numPr>
          <w:ilvl w:val="0"/>
          <w:numId w:val="2"/>
        </w:numPr>
        <w:spacing w:after="40" w:before="40"/>
      </w:pPr>
      <w:r>
        <w:rPr>
          <w:rFonts w:ascii="Arial" w:cs="Arial" w:eastAsia="Arial" w:hAnsi="Arial"/>
          <w:sz w:val="22"/>
          <w:szCs w:val="22"/>
        </w:rPr>
        <w:t xml:space="preserve">Duplicate detection: Zero duplicate rows identified</w:t>
      </w:r>
    </w:p>
    <w:p>
      <w:pPr>
        <w:pStyle w:val="ListParagraph"/>
        <w:numPr>
          <w:ilvl w:val="0"/>
          <w:numId w:val="2"/>
        </w:numPr>
        <w:spacing w:after="40" w:before="40"/>
      </w:pPr>
      <w:r>
        <w:rPr>
          <w:rFonts w:ascii="Arial" w:cs="Arial" w:eastAsia="Arial" w:hAnsi="Arial"/>
          <w:sz w:val="22"/>
          <w:szCs w:val="22"/>
        </w:rPr>
        <w:t xml:space="preserve">Order consistency check: All records verified — channel order sub-totals sum correctly to MonthlyOrders (zero mismatches)</w:t>
      </w:r>
    </w:p>
    <w:p>
      <w:pPr>
        <w:pStyle w:val="ListParagraph"/>
        <w:numPr>
          <w:ilvl w:val="0"/>
          <w:numId w:val="2"/>
        </w:numPr>
        <w:spacing w:after="40" w:before="40"/>
      </w:pPr>
      <w:r>
        <w:rPr>
          <w:rFonts w:ascii="Arial" w:cs="Arial" w:eastAsia="Arial" w:hAnsi="Arial"/>
          <w:sz w:val="22"/>
          <w:szCs w:val="22"/>
        </w:rPr>
        <w:t xml:space="preserve">Outlier detection via descriptive statistics: AOV ranges from $29.79 to $47.23, indicating normal commercial variance</w:t>
      </w:r>
    </w:p>
    <w:p>
      <w:pPr>
        <w:pStyle w:val="ListParagraph"/>
        <w:numPr>
          <w:ilvl w:val="0"/>
          <w:numId w:val="2"/>
        </w:numPr>
        <w:spacing w:after="40" w:before="40"/>
      </w:pPr>
      <w:r>
        <w:rPr>
          <w:rFonts w:ascii="Arial" w:cs="Arial" w:eastAsia="Arial" w:hAnsi="Arial"/>
          <w:sz w:val="22"/>
          <w:szCs w:val="22"/>
        </w:rPr>
        <w:t xml:space="preserve">Growth factor range: 0.99 to 1.05 — no extreme outliers</w:t>
      </w:r>
    </w:p>
    <w:p>
      <w:pPr>
        <w:spacing w:after="100" w:before="60"/>
        <w:jc w:val="both"/>
      </w:pPr>
      <w:r>
        <w:rPr>
          <w:rFonts w:ascii="Arial" w:cs="Arial" w:eastAsia="Arial" w:hAnsi="Arial"/>
          <w:sz w:val="22"/>
          <w:szCs w:val="22"/>
        </w:rPr>
        <w:t xml:space="preserve">Data quality is assessed as high. All analyses proceed on the full 1,696-record dataset without imputation or removal.</w:t>
      </w:r>
    </w:p>
    <w:p>
      <w:pPr>
        <w:pStyle w:val="Heading2"/>
        <w:spacing w:after="80" w:before="240"/>
      </w:pPr>
      <w:r>
        <w:rPr>
          <w:rFonts w:ascii="Arial" w:cs="Arial" w:eastAsia="Arial" w:hAnsi="Arial"/>
          <w:b/>
          <w:bCs/>
          <w:color w:val="2E75B6"/>
          <w:sz w:val="26"/>
          <w:szCs w:val="26"/>
        </w:rPr>
        <w:t xml:space="preserve">2.2 Channel Volume Analysis</w:t>
      </w:r>
    </w:p>
    <w:p>
      <w:pPr>
        <w:spacing w:after="100" w:before="60"/>
        <w:jc w:val="left"/>
      </w:pPr>
      <w:r>
        <w:rPr>
          <w:rFonts w:ascii="Arial" w:cs="Arial" w:eastAsia="Arial" w:hAnsi="Arial"/>
          <w:sz w:val="22"/>
          <w:szCs w:val="22"/>
        </w:rPr>
        <w:t xml:space="preserve">Across the full network, total monthly orders by channel are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Monthly Orders</w:t>
            </w:r>
          </w:p>
        </w:tc>
        <w:tc>
          <w:tcPr>
            <w:tcW w:type="dxa" w:w="31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 Share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UberEats</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800,353</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39.5%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DoorDash</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436,135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Self-Delivery</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411,255</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In-Store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371,391</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2,019,134</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r>
    </w:tbl>
    <w:p>
      <w:pPr>
        <w:spacing w:after="80" w:before="80"/>
      </w:pPr>
      <w:r>
        <w:t xml:space="preserve"/>
      </w:r>
    </w:p>
    <w:p>
      <w:pPr>
        <w:spacing w:after="100" w:before="60"/>
        <w:jc w:val="both"/>
      </w:pPr>
      <w:r>
        <w:rPr>
          <w:rFonts w:ascii="Arial" w:cs="Arial" w:eastAsia="Arial" w:hAnsi="Arial"/>
          <w:sz w:val="22"/>
          <w:szCs w:val="22"/>
        </w:rPr>
        <w:t xml:space="preserve">UberEats is the clear volume leader, generating more than double the orders of any individual alternative channel. Combined third-party aggregators (UberEats + DoorDash) account for approximately 61% of total platform demand, underscoring the structural dependence of the network on commission-based platforms.</w:t>
      </w:r>
    </w:p>
    <w:p>
      <w:pPr>
        <w:pStyle w:val="Heading2"/>
        <w:spacing w:after="80" w:before="240"/>
      </w:pPr>
      <w:r>
        <w:rPr>
          <w:rFonts w:ascii="Arial" w:cs="Arial" w:eastAsia="Arial" w:hAnsi="Arial"/>
          <w:b/>
          <w:bCs/>
          <w:color w:val="2E75B6"/>
          <w:sz w:val="26"/>
          <w:szCs w:val="26"/>
        </w:rPr>
        <w:t xml:space="preserve">2.3 Channel Share Distribution</w:t>
      </w:r>
    </w:p>
    <w:p>
      <w:pPr>
        <w:spacing w:after="100" w:before="60"/>
        <w:jc w:val="left"/>
      </w:pPr>
      <w:r>
        <w:rPr>
          <w:rFonts w:ascii="Arial" w:cs="Arial" w:eastAsia="Arial" w:hAnsi="Arial"/>
          <w:sz w:val="22"/>
          <w:szCs w:val="22"/>
        </w:rPr>
        <w:t xml:space="preserve">At the restaurant level, average channel share distribution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Restaurant Share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UberEats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DoorDash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Self-Delivery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17.5%</w:t>
            </w:r>
          </w:p>
        </w:tc>
      </w:tr>
    </w:tbl>
    <w:p>
      <w:pPr>
        <w:spacing w:after="80" w:before="80"/>
      </w:pPr>
      <w:r>
        <w:t xml:space="preserve"/>
      </w:r>
    </w:p>
    <w:p>
      <w:pPr>
        <w:spacing w:after="100" w:before="60"/>
        <w:jc w:val="both"/>
      </w:pPr>
      <w:r>
        <w:rPr>
          <w:rFonts w:ascii="Arial" w:cs="Arial" w:eastAsia="Arial" w:hAnsi="Arial"/>
          <w:sz w:val="22"/>
          <w:szCs w:val="22"/>
        </w:rPr>
        <w:t xml:space="preserve">This distribution confirms that the majority of individual restaurants are delivery-first operations, with in-store dining representing the minority of transactional volume.</w:t>
      </w:r>
    </w:p>
    <w:p>
      <w:pPr>
        <w:pStyle w:val="Heading2"/>
        <w:spacing w:after="80" w:before="240"/>
      </w:pPr>
      <w:r>
        <w:rPr>
          <w:rFonts w:ascii="Arial" w:cs="Arial" w:eastAsia="Arial" w:hAnsi="Arial"/>
          <w:b/>
          <w:bCs/>
          <w:color w:val="2E75B6"/>
          <w:sz w:val="26"/>
          <w:szCs w:val="26"/>
        </w:rPr>
        <w:t xml:space="preserve">2.4 Geographic Channel Preferences</w:t>
      </w:r>
    </w:p>
    <w:p>
      <w:pPr>
        <w:spacing w:after="100" w:before="60"/>
        <w:jc w:val="left"/>
      </w:pPr>
      <w:r>
        <w:rPr>
          <w:rFonts w:ascii="Arial" w:cs="Arial" w:eastAsia="Arial" w:hAnsi="Arial"/>
          <w:sz w:val="22"/>
          <w:szCs w:val="22"/>
        </w:rPr>
        <w:t xml:space="preserve">Across all four sub-regions, UberEats is the dominant ordering channel. However, regional nuances are present in the distribution of secondary channels: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Sub-region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Dominant Channel</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Notable Pattern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CBD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UberEats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Lowest Self-Delivery share; high aggregator concentration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 Shore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UberEats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Balanced secondary channels between DoorDash and Self-Delivery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South Auckland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UberEats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Highest absolute order volumes; strong Self-Delivery presence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 Auckland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UberEats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Self-Delivery share and highest avg. Self-Delivery net profit</w:t>
            </w:r>
          </w:p>
        </w:tc>
      </w:tr>
    </w:tbl>
    <w:p>
      <w:pPr>
        <w:spacing w:after="80" w:before="80"/>
      </w:pPr>
      <w:r>
        <w:t xml:space="preserve"/>
      </w:r>
    </w:p>
    <w:p>
      <w:pPr>
        <w:spacing w:after="100" w:before="60"/>
        <w:jc w:val="both"/>
      </w:pPr>
      <w:r>
        <w:rPr>
          <w:rFonts w:ascii="Arial" w:cs="Arial" w:eastAsia="Arial" w:hAnsi="Arial"/>
          <w:sz w:val="22"/>
          <w:szCs w:val="22"/>
        </w:rPr>
        <w:t xml:space="preserve">West Auckland shows the highest Self-Delivery volume and net profit, suggesting that geographic spread and delivery radius characteristics favour owned-fleet logistics in outer suburban areas.</w:t>
      </w:r>
    </w:p>
    <w:p>
      <w:pPr>
        <w:pStyle w:val="Heading2"/>
        <w:spacing w:after="80" w:before="240"/>
      </w:pPr>
      <w:r>
        <w:rPr>
          <w:rFonts w:ascii="Arial" w:cs="Arial" w:eastAsia="Arial" w:hAnsi="Arial"/>
          <w:b/>
          <w:bCs/>
          <w:color w:val="2E75B6"/>
          <w:sz w:val="26"/>
          <w:szCs w:val="26"/>
        </w:rPr>
        <w:t xml:space="preserve">2.5 Cuisine-Level Channel Mix</w:t>
      </w:r>
    </w:p>
    <w:p>
      <w:pPr>
        <w:spacing w:after="100" w:before="60"/>
        <w:jc w:val="left"/>
      </w:pPr>
      <w:r>
        <w:rPr>
          <w:rFonts w:ascii="Arial" w:cs="Arial" w:eastAsia="Arial" w:hAnsi="Arial"/>
          <w:sz w:val="22"/>
          <w:szCs w:val="22"/>
        </w:rPr>
        <w:t xml:space="preserve">Channel behaviour varies materially across cuisine types, reflecting differences in product type, customer demographics, and order urgency: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00"/>
        <w:gridCol w:w="1200"/>
        <w:gridCol w:w="1200"/>
        <w:gridCol w:w="24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Cuisine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In-Store %</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UberEats %</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DoorDash %</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Self-Del %</w:t>
            </w:r>
          </w:p>
        </w:tc>
        <w:tc>
          <w:tcPr>
            <w:tcW w:type="dxa" w:w="2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Delivery Dependency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Thai</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17.5%</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Kebabs/Med.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13.1%</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Japanese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13.1%</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Chinese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20.6%</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20.6%</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Burgers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Chicken Dishes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11.4%</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Pizza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r>
    </w:tbl>
    <w:p>
      <w:pPr>
        <w:spacing w:after="80" w:before="80"/>
      </w:pPr>
      <w:r>
        <w:t xml:space="preserve"/>
      </w:r>
    </w:p>
    <w:p>
      <w:pPr>
        <w:spacing w:after="100" w:before="60"/>
        <w:jc w:val="both"/>
      </w:pPr>
      <w:r>
        <w:rPr>
          <w:rFonts w:ascii="Arial" w:cs="Arial" w:eastAsia="Arial" w:hAnsi="Arial"/>
          <w:sz w:val="22"/>
          <w:szCs w:val="22"/>
        </w:rPr>
        <w:t xml:space="preserve">Pizza stands out as the highest Self-Delivery category (34.3%), suggesting that direct delivery infrastructure exists and is leveraged effectively. Thai, Indian, and Kebabs/Mediterranean are the most aggregator-dependent cuisines, creating the highest exposure to platform commission costs.</w:t>
      </w:r>
    </w:p>
    <w:p>
      <w:pPr>
        <w:pStyle w:val="Heading2"/>
        <w:spacing w:after="80" w:before="240"/>
      </w:pPr>
      <w:r>
        <w:rPr>
          <w:rFonts w:ascii="Arial" w:cs="Arial" w:eastAsia="Arial" w:hAnsi="Arial"/>
          <w:b/>
          <w:bCs/>
          <w:color w:val="2E75B6"/>
          <w:sz w:val="26"/>
          <w:szCs w:val="26"/>
        </w:rPr>
        <w:t xml:space="preserve">2.6 Channel Dependency &amp; Diversification</w:t>
      </w:r>
    </w:p>
    <w:p>
      <w:pPr>
        <w:spacing w:after="100" w:before="60"/>
        <w:jc w:val="left"/>
      </w:pPr>
      <w:r>
        <w:rPr>
          <w:rFonts w:ascii="Arial" w:cs="Arial" w:eastAsia="Arial" w:hAnsi="Arial"/>
          <w:sz w:val="22"/>
          <w:szCs w:val="22"/>
        </w:rPr>
        <w:t xml:space="preserve">Using a maximum channel share threshold, restaurants were classified 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 Level</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Channel Share Threshold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 of Restaurants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of Network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Dependency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70%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27.8%</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Diversified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50%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1,225</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72.2%</w:t>
            </w:r>
          </w:p>
        </w:tc>
      </w:tr>
    </w:tbl>
    <w:p>
      <w:pPr>
        <w:spacing w:after="80" w:before="80"/>
      </w:pPr>
      <w:r>
        <w:t xml:space="preserve"/>
      </w:r>
    </w:p>
    <w:p>
      <w:pPr>
        <w:spacing w:after="100" w:before="60"/>
        <w:jc w:val="both"/>
      </w:pPr>
      <w:r>
        <w:rPr>
          <w:rFonts w:ascii="Arial" w:cs="Arial" w:eastAsia="Arial" w:hAnsi="Arial"/>
          <w:sz w:val="22"/>
          <w:szCs w:val="22"/>
        </w:rPr>
        <w:t xml:space="preserve">The absence of high-dependency restaurants is a positive finding, indicating that no outlet is critically exposed to a single channel failure. The 471 moderately concentrated restaurants, however, should be monitored for evolving platform risks.</w:t>
      </w:r>
    </w:p>
    <w:p>
      <w:pPr>
        <w:pStyle w:val="Heading2"/>
        <w:spacing w:after="80" w:before="240"/>
      </w:pPr>
      <w:r>
        <w:rPr>
          <w:rFonts w:ascii="Arial" w:cs="Arial" w:eastAsia="Arial" w:hAnsi="Arial"/>
          <w:b/>
          <w:bCs/>
          <w:color w:val="2E75B6"/>
          <w:sz w:val="26"/>
          <w:szCs w:val="26"/>
        </w:rPr>
        <w:t xml:space="preserve">2.7 Net Profit by Channel &amp; Geography</w:t>
      </w:r>
    </w:p>
    <w:p>
      <w:pPr>
        <w:spacing w:after="100" w:before="60"/>
        <w:jc w:val="left"/>
      </w:pPr>
      <w:r>
        <w:rPr>
          <w:rFonts w:ascii="Arial" w:cs="Arial" w:eastAsia="Arial" w:hAnsi="Arial"/>
          <w:sz w:val="22"/>
          <w:szCs w:val="22"/>
        </w:rPr>
        <w:t xml:space="preserve">The profitability differential between channels is stark: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000"/>
        <w:gridCol w:w="1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Sub-region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In-Store Net Profit (avg)</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UberEats Net Profit (avg)</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DoorDash Net Profit (avg)</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Self-Delivery Net Profit (avg)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CBD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$2,042.85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$53.83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$36.63</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$1,891.14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North Shore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$2,342.21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$2,158.70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South Auckland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$2,255.58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$172.42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$95.50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$2,297.23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 Auckland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$2,378.94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$217.59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$2,192.75</w:t>
            </w:r>
          </w:p>
        </w:tc>
      </w:tr>
    </w:tbl>
    <w:p>
      <w:pPr>
        <w:spacing w:after="80" w:before="80"/>
      </w:pPr>
      <w:r>
        <w:t xml:space="preserve"/>
      </w:r>
    </w:p>
    <w:p>
      <w:pPr>
        <w:spacing w:after="100" w:before="60"/>
        <w:jc w:val="both"/>
      </w:pPr>
      <w:r>
        <w:rPr>
          <w:rFonts w:ascii="Arial" w:cs="Arial" w:eastAsia="Arial" w:hAnsi="Arial"/>
          <w:sz w:val="22"/>
          <w:szCs w:val="22"/>
        </w:rPr>
        <w:t xml:space="preserve">In-Store and Self-Delivery channels generate substantially higher net profits than third-party aggregators. UberEats net profit in the CBD averages only $53.83 — approximately 2.6% of the equivalent In-Store profit — due to platform commission rates applied against high operating costs in the central business district.</w:t>
      </w:r>
    </w:p>
    <w:p>
      <w:r>
        <w:br w:type="page"/>
      </w:r>
    </w:p>
    <w:p>
      <w:pPr>
        <w:pStyle w:val="Heading1"/>
        <w:spacing w:after="120" w:before="360"/>
      </w:pPr>
      <w:r>
        <w:rPr>
          <w:rFonts w:ascii="Arial" w:cs="Arial" w:eastAsia="Arial" w:hAnsi="Arial"/>
          <w:b/>
          <w:bCs/>
          <w:color w:val="1F4E79"/>
          <w:sz w:val="32"/>
          <w:szCs w:val="32"/>
        </w:rPr>
        <w:t xml:space="preserve">3. Key Performance Indicators</w:t>
      </w:r>
    </w:p>
    <w:p>
      <w:pPr>
        <w:spacing w:after="100" w:before="60"/>
        <w:jc w:val="left"/>
      </w:pPr>
      <w:r>
        <w:rPr>
          <w:rFonts w:ascii="Arial" w:cs="Arial" w:eastAsia="Arial" w:hAnsi="Arial"/>
          <w:sz w:val="22"/>
          <w:szCs w:val="22"/>
        </w:rPr>
        <w:t xml:space="preserve">The following KPIs were computed to enable performance monitoring and strategic benchmarking: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Strategic Use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Channel Order Share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of total orders per channel per restaurant</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Identifies dominant channel; benchmarks ordering behaviour across segments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Aggregator Dependence Index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UberEats + DoorDash order share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Detects margin risk from commission dependency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In-Store Reliance Ratio</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In-Store orders ÷ Total orders</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 = strong brand/location; Low = over-reliance on delivery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 Diversification Score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Shannon entropy across channel shares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score = more balanced portfolio; lower = concentrated risk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Subregion Channel Dominance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Channel with highest share in each region</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Reveals geographic behaviour; guides regional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Profit by Channel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net profit per channel per restaurant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Profitability benchmarking across delivery models</w:t>
            </w:r>
          </w:p>
        </w:tc>
      </w:tr>
    </w:tbl>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4. Key Insights</w:t>
      </w:r>
    </w:p>
    <w:p>
      <w:pPr>
        <w:pStyle w:val="Heading2"/>
        <w:spacing w:after="80" w:before="240"/>
      </w:pPr>
      <w:r>
        <w:rPr>
          <w:rFonts w:ascii="Arial" w:cs="Arial" w:eastAsia="Arial" w:hAnsi="Arial"/>
          <w:b/>
          <w:bCs/>
          <w:color w:val="2E75B6"/>
          <w:sz w:val="26"/>
          <w:szCs w:val="26"/>
        </w:rPr>
        <w:t xml:space="preserve">Insight 1: Aggregators Drive Volume, Not Profit</w:t>
      </w:r>
    </w:p>
    <w:p>
      <w:pPr>
        <w:spacing w:after="100" w:before="60"/>
        <w:jc w:val="both"/>
      </w:pPr>
      <w:r>
        <w:rPr>
          <w:rFonts w:ascii="Arial" w:cs="Arial" w:eastAsia="Arial" w:hAnsi="Arial"/>
          <w:sz w:val="22"/>
          <w:szCs w:val="22"/>
        </w:rPr>
        <w:t xml:space="preserve">UberEats and DoorDash collectively account for 61% of order volume but generate dramatically lower net profits than In-Store or Self-Delivery. This volume-profitability gap represents a structural challenge: restaurants are optimising for reach at the expense of margin.</w:t>
      </w:r>
    </w:p>
    <w:p>
      <w:pPr>
        <w:pStyle w:val="Heading2"/>
        <w:spacing w:after="80" w:before="240"/>
      </w:pPr>
      <w:r>
        <w:rPr>
          <w:rFonts w:ascii="Arial" w:cs="Arial" w:eastAsia="Arial" w:hAnsi="Arial"/>
          <w:b/>
          <w:bCs/>
          <w:color w:val="2E75B6"/>
          <w:sz w:val="26"/>
          <w:szCs w:val="26"/>
        </w:rPr>
        <w:t xml:space="preserve">Insight 2: Self-Delivery is the Hidden Value Channel</w:t>
      </w:r>
    </w:p>
    <w:p>
      <w:pPr>
        <w:spacing w:after="100" w:before="60"/>
        <w:jc w:val="both"/>
      </w:pPr>
      <w:r>
        <w:rPr>
          <w:rFonts w:ascii="Arial" w:cs="Arial" w:eastAsia="Arial" w:hAnsi="Arial"/>
          <w:sz w:val="22"/>
          <w:szCs w:val="22"/>
        </w:rPr>
        <w:t xml:space="preserve">Self-Delivery delivers near-parity net profit with In-Store dining in suburban regions (particularly South Auckland and North Shore), while achieving significant order volumes. This channel is systematically underutilised relative to its profitability potential.</w:t>
      </w:r>
    </w:p>
    <w:p>
      <w:pPr>
        <w:pStyle w:val="Heading2"/>
        <w:spacing w:after="80" w:before="240"/>
      </w:pPr>
      <w:r>
        <w:rPr>
          <w:rFonts w:ascii="Arial" w:cs="Arial" w:eastAsia="Arial" w:hAnsi="Arial"/>
          <w:b/>
          <w:bCs/>
          <w:color w:val="2E75B6"/>
          <w:sz w:val="26"/>
          <w:szCs w:val="26"/>
        </w:rPr>
        <w:t xml:space="preserve">Insight 3: Geographic Behaviour is Distinct</w:t>
      </w:r>
    </w:p>
    <w:p>
      <w:pPr>
        <w:spacing w:after="100" w:before="60"/>
        <w:jc w:val="both"/>
      </w:pPr>
      <w:r>
        <w:rPr>
          <w:rFonts w:ascii="Arial" w:cs="Arial" w:eastAsia="Arial" w:hAnsi="Arial"/>
          <w:sz w:val="22"/>
          <w:szCs w:val="22"/>
        </w:rPr>
        <w:t xml:space="preserve">CBD restaurants operate in the most competitive and cost-intensive environment, evidenced by the lowest UberEats net profit ($53.83 avg). Suburban regions — particularly West Auckland and South Auckland — show stronger Self-Delivery economics, likely driven by lower delivery cost per order and wider geographic catchment areas.</w:t>
      </w:r>
    </w:p>
    <w:p>
      <w:pPr>
        <w:pStyle w:val="Heading2"/>
        <w:spacing w:after="80" w:before="240"/>
      </w:pPr>
      <w:r>
        <w:rPr>
          <w:rFonts w:ascii="Arial" w:cs="Arial" w:eastAsia="Arial" w:hAnsi="Arial"/>
          <w:b/>
          <w:bCs/>
          <w:color w:val="2E75B6"/>
          <w:sz w:val="26"/>
          <w:szCs w:val="26"/>
        </w:rPr>
        <w:t xml:space="preserve">Insight 4: Cuisine-Specific Platform Dependency Creates Margin Risk</w:t>
      </w:r>
    </w:p>
    <w:p>
      <w:pPr>
        <w:spacing w:after="100" w:before="60"/>
        <w:jc w:val="both"/>
      </w:pPr>
      <w:r>
        <w:rPr>
          <w:rFonts w:ascii="Arial" w:cs="Arial" w:eastAsia="Arial" w:hAnsi="Arial"/>
          <w:sz w:val="22"/>
          <w:szCs w:val="22"/>
        </w:rPr>
        <w:t xml:space="preserve">Thai, Indian, Kebabs/Mediterranean, and Japanese cuisines collectively direct 73–88% of their orders through third-party platforms. Given typical commission rates of 15–30%, this represents a significant and sustained margin drain. Pizza's elevated Self-Delivery share (34.3%) suggests that cuisine-appropriate channel strategies are both feasible and financially rewarding.</w:t>
      </w:r>
    </w:p>
    <w:p>
      <w:pPr>
        <w:pStyle w:val="Heading2"/>
        <w:spacing w:after="80" w:before="240"/>
      </w:pPr>
      <w:r>
        <w:rPr>
          <w:rFonts w:ascii="Arial" w:cs="Arial" w:eastAsia="Arial" w:hAnsi="Arial"/>
          <w:b/>
          <w:bCs/>
          <w:color w:val="2E75B6"/>
          <w:sz w:val="26"/>
          <w:szCs w:val="26"/>
        </w:rPr>
        <w:t xml:space="preserve">Insight 5: The Network Has No Critically Dependent Restaurants</w:t>
      </w:r>
    </w:p>
    <w:p>
      <w:pPr>
        <w:spacing w:after="100" w:before="60"/>
        <w:jc w:val="both"/>
      </w:pPr>
      <w:r>
        <w:rPr>
          <w:rFonts w:ascii="Arial" w:cs="Arial" w:eastAsia="Arial" w:hAnsi="Arial"/>
          <w:sz w:val="22"/>
          <w:szCs w:val="22"/>
        </w:rPr>
        <w:t xml:space="preserve">The complete absence of high-dependency restaurants (&gt;70% single-channel reliance) indicates a resilient network baseline. However, the 471 moderately concentrated restaurants (27.8% of network) represent a watch-list cohort that should be actively managed.</w:t>
      </w:r>
    </w:p>
    <w:p>
      <w:pPr>
        <w:pStyle w:val="Heading2"/>
        <w:spacing w:after="80" w:before="240"/>
      </w:pPr>
      <w:r>
        <w:rPr>
          <w:rFonts w:ascii="Arial" w:cs="Arial" w:eastAsia="Arial" w:hAnsi="Arial"/>
          <w:b/>
          <w:bCs/>
          <w:color w:val="2E75B6"/>
          <w:sz w:val="26"/>
          <w:szCs w:val="26"/>
        </w:rPr>
        <w:t xml:space="preserve">Insight 6: Growth Factor Distribution is Narrow</w:t>
      </w:r>
    </w:p>
    <w:p>
      <w:pPr>
        <w:spacing w:after="100" w:before="60"/>
        <w:jc w:val="both"/>
      </w:pPr>
      <w:r>
        <w:rPr>
          <w:rFonts w:ascii="Arial" w:cs="Arial" w:eastAsia="Arial" w:hAnsi="Arial"/>
          <w:sz w:val="22"/>
          <w:szCs w:val="22"/>
        </w:rPr>
        <w:t xml:space="preserve">The GrowthFactor ranges from 0.99 to 1.05 with a mean of 1.028, indicating modest and broadly uniform growth across the network. There is limited variance in growth trajectories, suggesting that channel strategy rather than organic growth is the primary lever for performance differentiation.</w:t>
      </w:r>
    </w:p>
    <w:p>
      <w:r>
        <w:br w:type="page"/>
      </w:r>
    </w:p>
    <w:p>
      <w:pPr>
        <w:pStyle w:val="Heading1"/>
        <w:spacing w:after="120" w:before="360"/>
      </w:pPr>
      <w:r>
        <w:rPr>
          <w:rFonts w:ascii="Arial" w:cs="Arial" w:eastAsia="Arial" w:hAnsi="Arial"/>
          <w:b/>
          <w:bCs/>
          <w:color w:val="1F4E79"/>
          <w:sz w:val="32"/>
          <w:szCs w:val="32"/>
        </w:rPr>
        <w:t xml:space="preserve">5. Strategic Recommendations</w:t>
      </w:r>
    </w:p>
    <w:p>
      <w:pPr>
        <w:pStyle w:val="Heading2"/>
        <w:spacing w:after="80" w:before="240"/>
      </w:pPr>
      <w:r>
        <w:rPr>
          <w:rFonts w:ascii="Arial" w:cs="Arial" w:eastAsia="Arial" w:hAnsi="Arial"/>
          <w:b/>
          <w:bCs/>
          <w:color w:val="2E75B6"/>
          <w:sz w:val="26"/>
          <w:szCs w:val="26"/>
        </w:rPr>
        <w:t xml:space="preserve">Recommendation 1: Invest in Self-Delivery Infrastructure</w:t>
      </w:r>
    </w:p>
    <w:p>
      <w:pPr>
        <w:spacing w:after="100" w:before="60"/>
        <w:jc w:val="left"/>
      </w:pPr>
      <w:r>
        <w:rPr>
          <w:rFonts w:ascii="Arial" w:cs="Arial" w:eastAsia="Arial" w:hAnsi="Arial"/>
          <w:b/>
          <w:bCs/>
          <w:sz w:val="22"/>
          <w:szCs w:val="22"/>
        </w:rPr>
        <w:t xml:space="preserve">Priority: HIGH | Timeline: Short-to-Medium Term</w:t>
      </w:r>
    </w:p>
    <w:p>
      <w:pPr>
        <w:spacing w:after="100" w:before="60"/>
        <w:jc w:val="both"/>
      </w:pPr>
      <w:r>
        <w:rPr>
          <w:rFonts w:ascii="Arial" w:cs="Arial" w:eastAsia="Arial" w:hAnsi="Arial"/>
          <w:sz w:val="22"/>
          <w:szCs w:val="22"/>
        </w:rPr>
        <w:t xml:space="preserve">Self-Delivery consistently demonstrates near-In-Store-level profitability across all sub-regions. Skycity should expand owned-fleet delivery capabilities — particularly for suburban restaurants — by investing in delivery management software, fleet partnerships, and demand-based routing. Pilot a Self-Delivery expansion programme in West Auckland, where current economics are most favourable.</w:t>
      </w:r>
    </w:p>
    <w:p>
      <w:pPr>
        <w:pStyle w:val="Heading2"/>
        <w:spacing w:after="80" w:before="240"/>
      </w:pPr>
      <w:r>
        <w:rPr>
          <w:rFonts w:ascii="Arial" w:cs="Arial" w:eastAsia="Arial" w:hAnsi="Arial"/>
          <w:b/>
          <w:bCs/>
          <w:color w:val="2E75B6"/>
          <w:sz w:val="26"/>
          <w:szCs w:val="26"/>
        </w:rPr>
        <w:t xml:space="preserve">Recommendation 2: Implement Cuisine-Specific Platform Strategies</w:t>
      </w:r>
    </w:p>
    <w:p>
      <w:pPr>
        <w:spacing w:after="100" w:before="60"/>
        <w:jc w:val="left"/>
      </w:pPr>
      <w:r>
        <w:rPr>
          <w:rFonts w:ascii="Arial" w:cs="Arial" w:eastAsia="Arial" w:hAnsi="Arial"/>
          <w:b/>
          <w:bCs/>
          <w:sz w:val="22"/>
          <w:szCs w:val="22"/>
        </w:rPr>
        <w:t xml:space="preserve">Priority: HIGH | Timeline: Short Term</w:t>
      </w:r>
    </w:p>
    <w:p>
      <w:pPr>
        <w:spacing w:after="100" w:before="60"/>
        <w:jc w:val="both"/>
      </w:pPr>
      <w:r>
        <w:rPr>
          <w:rFonts w:ascii="Arial" w:cs="Arial" w:eastAsia="Arial" w:hAnsi="Arial"/>
          <w:sz w:val="22"/>
          <w:szCs w:val="22"/>
        </w:rPr>
        <w:t xml:space="preserve">Thai, Indian, and Kebabs/Mediterranean restaurants should be prioritised for commission renegotiation or platform-direct customer acquisition programmes. Consider introducing brand-owned ordering portals or loyalty-driven direct ordering for these cuisine types to reduce aggregator dependency over time. Pizza restaurants provide a proven model to replicate.</w:t>
      </w:r>
    </w:p>
    <w:p>
      <w:pPr>
        <w:pStyle w:val="Heading2"/>
        <w:spacing w:after="80" w:before="240"/>
      </w:pPr>
      <w:r>
        <w:rPr>
          <w:rFonts w:ascii="Arial" w:cs="Arial" w:eastAsia="Arial" w:hAnsi="Arial"/>
          <w:b/>
          <w:bCs/>
          <w:color w:val="2E75B6"/>
          <w:sz w:val="26"/>
          <w:szCs w:val="26"/>
        </w:rPr>
        <w:t xml:space="preserve">Recommendation 3: Develop a Profitability-First Channel Policy for CBD</w:t>
      </w:r>
    </w:p>
    <w:p>
      <w:pPr>
        <w:spacing w:after="100" w:before="60"/>
        <w:jc w:val="left"/>
      </w:pPr>
      <w:r>
        <w:rPr>
          <w:rFonts w:ascii="Arial" w:cs="Arial" w:eastAsia="Arial" w:hAnsi="Arial"/>
          <w:b/>
          <w:bCs/>
          <w:sz w:val="22"/>
          <w:szCs w:val="22"/>
        </w:rPr>
        <w:t xml:space="preserve">Priority: HIGH | Timeline: Immediate</w:t>
      </w:r>
    </w:p>
    <w:p>
      <w:pPr>
        <w:spacing w:after="100" w:before="60"/>
        <w:jc w:val="both"/>
      </w:pPr>
      <w:r>
        <w:rPr>
          <w:rFonts w:ascii="Arial" w:cs="Arial" w:eastAsia="Arial" w:hAnsi="Arial"/>
          <w:sz w:val="22"/>
          <w:szCs w:val="22"/>
        </w:rPr>
        <w:t xml:space="preserve">Given the extremely low UberEats net profit in the CBD ($53.83 avg), CBD restaurants should actively promote In-Store dining and Self-Delivery. Consider introducing in-app promotions, dine-in loyalty incentives, and direct delivery offers for CBD customers to migrate volume from aggregators to higher-margin channels.</w:t>
      </w:r>
    </w:p>
    <w:p>
      <w:pPr>
        <w:pStyle w:val="Heading2"/>
        <w:spacing w:after="80" w:before="240"/>
      </w:pPr>
      <w:r>
        <w:rPr>
          <w:rFonts w:ascii="Arial" w:cs="Arial" w:eastAsia="Arial" w:hAnsi="Arial"/>
          <w:b/>
          <w:bCs/>
          <w:color w:val="2E75B6"/>
          <w:sz w:val="26"/>
          <w:szCs w:val="26"/>
        </w:rPr>
        <w:t xml:space="preserve">Recommendation 4: Monitor the Moderate-Dependency Cohort</w:t>
      </w:r>
    </w:p>
    <w:p>
      <w:pPr>
        <w:spacing w:after="100" w:before="60"/>
        <w:jc w:val="left"/>
      </w:pPr>
      <w:r>
        <w:rPr>
          <w:rFonts w:ascii="Arial" w:cs="Arial" w:eastAsia="Arial" w:hAnsi="Arial"/>
          <w:b/>
          <w:bCs/>
          <w:sz w:val="22"/>
          <w:szCs w:val="22"/>
        </w:rPr>
        <w:t xml:space="preserve">Priority: MEDIUM | Timeline: Ongoing</w:t>
      </w:r>
    </w:p>
    <w:p>
      <w:pPr>
        <w:spacing w:after="100" w:before="60"/>
        <w:jc w:val="both"/>
      </w:pPr>
      <w:r>
        <w:rPr>
          <w:rFonts w:ascii="Arial" w:cs="Arial" w:eastAsia="Arial" w:hAnsi="Arial"/>
          <w:sz w:val="22"/>
          <w:szCs w:val="22"/>
        </w:rPr>
        <w:t xml:space="preserve">The 471 restaurants with moderate channel dependency (50–70% in a single channel) should be enrolled in a quarterly channel diversification review. Use the Diversification Score KPI and Aggregator Dependence Index to track progress and flag emerging concentration risks before they become critical.</w:t>
      </w:r>
    </w:p>
    <w:p>
      <w:pPr>
        <w:pStyle w:val="Heading2"/>
        <w:spacing w:after="80" w:before="240"/>
      </w:pPr>
      <w:r>
        <w:rPr>
          <w:rFonts w:ascii="Arial" w:cs="Arial" w:eastAsia="Arial" w:hAnsi="Arial"/>
          <w:b/>
          <w:bCs/>
          <w:color w:val="2E75B6"/>
          <w:sz w:val="26"/>
          <w:szCs w:val="26"/>
        </w:rPr>
        <w:t xml:space="preserve">Recommendation 5: Leverage Regional Insights for Targeted Campaigns</w:t>
      </w:r>
    </w:p>
    <w:p>
      <w:pPr>
        <w:spacing w:after="100" w:before="60"/>
        <w:jc w:val="left"/>
      </w:pPr>
      <w:r>
        <w:rPr>
          <w:rFonts w:ascii="Arial" w:cs="Arial" w:eastAsia="Arial" w:hAnsi="Arial"/>
          <w:b/>
          <w:bCs/>
          <w:sz w:val="22"/>
          <w:szCs w:val="22"/>
        </w:rPr>
        <w:t xml:space="preserve">Priority: MEDIUM | Timeline: Medium Term</w:t>
      </w:r>
    </w:p>
    <w:p>
      <w:pPr>
        <w:spacing w:after="100" w:before="60"/>
        <w:jc w:val="both"/>
      </w:pPr>
      <w:r>
        <w:rPr>
          <w:rFonts w:ascii="Arial" w:cs="Arial" w:eastAsia="Arial" w:hAnsi="Arial"/>
          <w:sz w:val="22"/>
          <w:szCs w:val="22"/>
        </w:rPr>
        <w:t xml:space="preserve">Sub-regional marketing and operational strategies should be customised based on channel behaviour. South Auckland and West Auckland restaurants should be encouraged to grow Self-Delivery capacity. CBD restaurants should focus on in-store dining premiums. North Shore represents a balanced market where multi-channel campaigns will resonate most broadly.</w:t>
      </w:r>
    </w:p>
    <w:p>
      <w:pPr>
        <w:pStyle w:val="Heading2"/>
        <w:spacing w:after="80" w:before="240"/>
      </w:pPr>
      <w:r>
        <w:rPr>
          <w:rFonts w:ascii="Arial" w:cs="Arial" w:eastAsia="Arial" w:hAnsi="Arial"/>
          <w:b/>
          <w:bCs/>
          <w:color w:val="2E75B6"/>
          <w:sz w:val="26"/>
          <w:szCs w:val="26"/>
        </w:rPr>
        <w:t xml:space="preserve">Recommendation 6: Establish a Net Profit KPI Dashboard</w:t>
      </w:r>
    </w:p>
    <w:p>
      <w:pPr>
        <w:spacing w:after="100" w:before="60"/>
        <w:jc w:val="left"/>
      </w:pPr>
      <w:r>
        <w:rPr>
          <w:rFonts w:ascii="Arial" w:cs="Arial" w:eastAsia="Arial" w:hAnsi="Arial"/>
          <w:b/>
          <w:bCs/>
          <w:sz w:val="22"/>
          <w:szCs w:val="22"/>
        </w:rPr>
        <w:t xml:space="preserve">Priority: MEDIUM | Timeline: Short Term</w:t>
      </w:r>
    </w:p>
    <w:p>
      <w:pPr>
        <w:spacing w:after="100" w:before="60"/>
        <w:jc w:val="both"/>
      </w:pPr>
      <w:r>
        <w:rPr>
          <w:rFonts w:ascii="Arial" w:cs="Arial" w:eastAsia="Arial" w:hAnsi="Arial"/>
          <w:sz w:val="22"/>
          <w:szCs w:val="22"/>
        </w:rPr>
        <w:t xml:space="preserve">The existing Streamlit dashboard should incorporate net profit by channel as a live operational metric. Management should set monthly net profit targets per channel per restaurant, enabling real-time course correction rather than retrospective analysis.</w:t>
      </w:r>
    </w:p>
    <w:p>
      <w:r>
        <w:br w:type="page"/>
      </w:r>
    </w:p>
    <w:p>
      <w:pPr>
        <w:pStyle w:val="Heading1"/>
        <w:spacing w:after="120" w:before="360"/>
      </w:pPr>
      <w:r>
        <w:rPr>
          <w:rFonts w:ascii="Arial" w:cs="Arial" w:eastAsia="Arial" w:hAnsi="Arial"/>
          <w:b/>
          <w:bCs/>
          <w:color w:val="1F4E79"/>
          <w:sz w:val="32"/>
          <w:szCs w:val="32"/>
        </w:rPr>
        <w:t xml:space="preserve">6. Conclusion</w:t>
      </w:r>
    </w:p>
    <w:p>
      <w:pPr>
        <w:spacing w:after="100" w:before="60"/>
        <w:jc w:val="both"/>
      </w:pPr>
      <w:r>
        <w:rPr>
          <w:rFonts w:ascii="Arial" w:cs="Arial" w:eastAsia="Arial" w:hAnsi="Arial"/>
          <w:sz w:val="22"/>
          <w:szCs w:val="22"/>
        </w:rPr>
        <w:t xml:space="preserve">This research paper has presented a rigorous exploratory data analysis of the Skycity Restaurants &amp; Bars network, drawing on data from 1,696 outlets across four Auckland sub-regions. The analysis confirms that while third-party aggregators drive the majority of order volume, they systematically underperform In-Store and Self-Delivery channels in net profitability.</w:t>
      </w:r>
    </w:p>
    <w:p>
      <w:pPr>
        <w:spacing w:after="100" w:before="60"/>
        <w:jc w:val="both"/>
      </w:pPr>
      <w:r>
        <w:rPr>
          <w:rFonts w:ascii="Arial" w:cs="Arial" w:eastAsia="Arial" w:hAnsi="Arial"/>
          <w:sz w:val="22"/>
          <w:szCs w:val="22"/>
        </w:rPr>
        <w:t xml:space="preserve">The network is structurally resilient — no restaurant is critically dependent on a single channel — but significant margin optimisation opportunities remain. Self-Delivery is the most underutilised high-value channel. CBD operations face the most acute aggregator profitability challenge. Cuisine-specific strategies can meaningfully shift the channel mix and improve unit economics.</w:t>
      </w:r>
    </w:p>
    <w:p>
      <w:pPr>
        <w:spacing w:after="100" w:before="60"/>
        <w:jc w:val="both"/>
      </w:pPr>
      <w:r>
        <w:rPr>
          <w:rFonts w:ascii="Arial" w:cs="Arial" w:eastAsia="Arial" w:hAnsi="Arial"/>
          <w:sz w:val="22"/>
          <w:szCs w:val="22"/>
        </w:rPr>
        <w:t xml:space="preserve">The six strategic recommendations outlined in this paper, if implemented in sequence and monitored via the proposed KPI framework, are expected to materially improve per-restaurant profitability and reduce systemic platform dependency risk across the Skycity portfolio.</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Appendix: Methodology Notes</w:t>
      </w:r>
    </w:p>
    <w:p>
      <w:pPr>
        <w:spacing w:after="100" w:before="60"/>
        <w:jc w:val="left"/>
      </w:pPr>
      <w:r>
        <w:rPr>
          <w:rFonts w:ascii="Arial" w:cs="Arial" w:eastAsia="Arial" w:hAnsi="Arial"/>
          <w:sz w:val="22"/>
          <w:szCs w:val="22"/>
        </w:rPr>
        <w:t xml:space="preserve">Data Source: Skycity Restaurants &amp; Bars dataset (1,696 records, 30 variables)</w:t>
      </w:r>
    </w:p>
    <w:p>
      <w:pPr>
        <w:spacing w:after="100" w:before="60"/>
        <w:jc w:val="left"/>
      </w:pPr>
      <w:r>
        <w:rPr>
          <w:rFonts w:ascii="Arial" w:cs="Arial" w:eastAsia="Arial" w:hAnsi="Arial"/>
          <w:sz w:val="22"/>
          <w:szCs w:val="22"/>
        </w:rPr>
        <w:t xml:space="preserve">Analysis Tools: Python (pandas, numpy, matplotlib), Jupyter Notebook, Streamlit</w:t>
      </w:r>
    </w:p>
    <w:p>
      <w:pPr>
        <w:spacing w:after="100" w:before="60"/>
        <w:jc w:val="left"/>
      </w:pPr>
      <w:r>
        <w:rPr>
          <w:rFonts w:ascii="Arial" w:cs="Arial" w:eastAsia="Arial" w:hAnsi="Arial"/>
          <w:sz w:val="22"/>
          <w:szCs w:val="22"/>
        </w:rPr>
        <w:t xml:space="preserve">Channel Share Calculation: Restaurant-level shares computed as channel orders ÷ total orders per restaurant; averages taken across the full dataset</w:t>
      </w:r>
    </w:p>
    <w:p>
      <w:pPr>
        <w:spacing w:after="100" w:before="60"/>
        <w:jc w:val="left"/>
      </w:pPr>
      <w:r>
        <w:rPr>
          <w:rFonts w:ascii="Arial" w:cs="Arial" w:eastAsia="Arial" w:hAnsi="Arial"/>
          <w:sz w:val="22"/>
          <w:szCs w:val="22"/>
        </w:rPr>
        <w:t xml:space="preserve">Dependency Classification: Based on maximum single-channel share per restaurant (High &gt;70%, Moderate 50–70%, Diversified &lt;50%)</w:t>
      </w:r>
    </w:p>
    <w:p>
      <w:pPr>
        <w:spacing w:after="100" w:before="60"/>
        <w:jc w:val="left"/>
      </w:pPr>
      <w:r>
        <w:rPr>
          <w:rFonts w:ascii="Arial" w:cs="Arial" w:eastAsia="Arial" w:hAnsi="Arial"/>
          <w:sz w:val="22"/>
          <w:szCs w:val="22"/>
        </w:rPr>
        <w:t xml:space="preserve">Diversification Score: Shannon entropy applied to four-channel share distribution per restaurant</w:t>
      </w:r>
    </w:p>
    <w:p>
      <w:pPr>
        <w:spacing w:after="100" w:before="60"/>
        <w:jc w:val="left"/>
      </w:pPr>
      <w:r>
        <w:rPr>
          <w:rFonts w:ascii="Arial" w:cs="Arial" w:eastAsia="Arial" w:hAnsi="Arial"/>
          <w:sz w:val="22"/>
          <w:szCs w:val="22"/>
        </w:rPr>
        <w:t xml:space="preserve">Net Profit Figures: Pre-computed in dataset fields (InStoreNetProfit, UberEatsNetProfit, DoorDashNetProfit, SelfDeliveryNetProfit); regional averages computed via groupby aggregation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rFonts w:ascii="Arial" w:cs="Arial" w:eastAsia="Arial" w:hAnsi="Arial"/>
        <w:color w:val="555555"/>
        <w:sz w:val="18"/>
        <w:szCs w:val="18"/>
      </w:rPr>
      <w:t xml:space="preserve">Skycity Restaurants &amp; Bars — Channel Analytics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2026-04-04T09:02:34.257Z</dcterms:created>
  <dcterms:modified xsi:type="dcterms:W3CDTF">2026-04-04T09:02:34.258Z</dcterms:modified>
</cp:coreProperties>
</file>

<file path=docProps/custom.xml><?xml version="1.0" encoding="utf-8"?>
<Properties xmlns="http://schemas.openxmlformats.org/officeDocument/2006/custom-properties" xmlns:vt="http://schemas.openxmlformats.org/officeDocument/2006/docPropsVTypes"/>
</file>