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BB1331" w14:textId="77777777" w:rsidR="00137501" w:rsidRPr="00517E4D" w:rsidRDefault="00000000">
      <w:pPr>
        <w:rPr>
          <w:lang w:val="fr-FR"/>
        </w:rPr>
      </w:pPr>
      <w:r w:rsidRPr="00517E4D">
        <w:rPr>
          <w:rFonts w:ascii="Calibri" w:hAnsi="Calibri"/>
          <w:b/>
          <w:color w:val="1E3A8A"/>
          <w:sz w:val="44"/>
          <w:lang w:val="fr-FR"/>
        </w:rPr>
        <w:t>Le Modèle de Markowitz</w:t>
      </w:r>
      <w:r w:rsidRPr="00517E4D">
        <w:rPr>
          <w:rFonts w:ascii="Calibri" w:hAnsi="Calibri"/>
          <w:b/>
          <w:color w:val="1E3A8A"/>
          <w:sz w:val="44"/>
          <w:lang w:val="fr-FR"/>
        </w:rPr>
        <w:br/>
      </w:r>
      <w:r w:rsidRPr="00517E4D">
        <w:rPr>
          <w:rFonts w:ascii="Calibri" w:hAnsi="Calibri"/>
          <w:i/>
          <w:color w:val="2563EB"/>
          <w:sz w:val="26"/>
          <w:lang w:val="fr-FR"/>
        </w:rPr>
        <w:t>Théorie Moderne du Portefeuille &amp; Analyse du Portefeuille Optimal</w:t>
      </w:r>
    </w:p>
    <w:p w14:paraId="03DC362A" w14:textId="77777777" w:rsidR="00137501" w:rsidRPr="00517E4D" w:rsidRDefault="00000000">
      <w:pPr>
        <w:spacing w:before="320" w:after="120"/>
        <w:rPr>
          <w:lang w:val="fr-FR"/>
        </w:rPr>
      </w:pPr>
      <w:r w:rsidRPr="00517E4D">
        <w:rPr>
          <w:rFonts w:ascii="Calibri" w:hAnsi="Calibri"/>
          <w:b/>
          <w:color w:val="1E3A8A"/>
          <w:sz w:val="28"/>
          <w:lang w:val="fr-FR"/>
        </w:rPr>
        <w:t>1. Introduction et Principes Théoriques</w:t>
      </w:r>
    </w:p>
    <w:p w14:paraId="3216AA4C" w14:textId="77777777" w:rsidR="00137501" w:rsidRPr="00517E4D" w:rsidRDefault="00000000" w:rsidP="00517E4D">
      <w:pPr>
        <w:jc w:val="both"/>
        <w:rPr>
          <w:lang w:val="fr-FR"/>
        </w:rPr>
      </w:pPr>
      <w:r w:rsidRPr="00517E4D">
        <w:rPr>
          <w:lang w:val="fr-FR"/>
        </w:rPr>
        <w:t>Développé par Harry Markowitz en 1952, le modèle de sélection de portefeuille établit un cadre mathématique rigoureux pour formaliser le concept de diversification. Il montre qu'un investisseur ne doit pas évaluer un actif financier de manière isolée, mais plutôt selon sa contribution au risque et au rendement global du portefeuille.</w:t>
      </w:r>
    </w:p>
    <w:p w14:paraId="2A8FF290" w14:textId="77777777" w:rsidR="00137501" w:rsidRDefault="00000000">
      <w:pPr>
        <w:spacing w:before="240" w:after="80"/>
      </w:pPr>
      <w:r>
        <w:rPr>
          <w:rFonts w:ascii="Calibri" w:hAnsi="Calibri"/>
          <w:b/>
          <w:color w:val="0F172A"/>
          <w:sz w:val="24"/>
        </w:rPr>
        <w:t xml:space="preserve">Principes </w:t>
      </w:r>
      <w:proofErr w:type="spellStart"/>
      <w:r>
        <w:rPr>
          <w:rFonts w:ascii="Calibri" w:hAnsi="Calibri"/>
          <w:b/>
          <w:color w:val="0F172A"/>
          <w:sz w:val="24"/>
        </w:rPr>
        <w:t>Fondamentaux</w:t>
      </w:r>
      <w:proofErr w:type="spellEnd"/>
    </w:p>
    <w:p w14:paraId="6F5946B1" w14:textId="77777777" w:rsidR="00137501" w:rsidRPr="00517E4D" w:rsidRDefault="00000000">
      <w:pPr>
        <w:pStyle w:val="ListBullet"/>
        <w:rPr>
          <w:lang w:val="fr-FR"/>
        </w:rPr>
      </w:pPr>
      <w:r w:rsidRPr="00517E4D">
        <w:rPr>
          <w:b/>
          <w:lang w:val="fr-FR"/>
        </w:rPr>
        <w:t xml:space="preserve">Portefeuille : </w:t>
      </w:r>
      <w:r w:rsidRPr="00517E4D">
        <w:rPr>
          <w:lang w:val="fr-FR"/>
        </w:rPr>
        <w:t>Assemblage d'actifs financiers (actions, obligations, cryptomonnaies, matières premières) détenus par un investisseur.</w:t>
      </w:r>
    </w:p>
    <w:p w14:paraId="4EF9DFF9" w14:textId="77777777" w:rsidR="00137501" w:rsidRPr="00517E4D" w:rsidRDefault="00000000">
      <w:pPr>
        <w:pStyle w:val="ListBullet"/>
        <w:rPr>
          <w:lang w:val="fr-FR"/>
        </w:rPr>
      </w:pPr>
      <w:r w:rsidRPr="00517E4D">
        <w:rPr>
          <w:b/>
          <w:lang w:val="fr-FR"/>
        </w:rPr>
        <w:t xml:space="preserve">Objectif d'Arbitrage : </w:t>
      </w:r>
      <w:r w:rsidRPr="00517E4D">
        <w:rPr>
          <w:lang w:val="fr-FR"/>
        </w:rPr>
        <w:t>Maximiser le rendement espéré tout en minimisant le risque global (volatilité).</w:t>
      </w:r>
    </w:p>
    <w:p w14:paraId="63122E0B" w14:textId="77777777" w:rsidR="00137501" w:rsidRPr="00517E4D" w:rsidRDefault="00000000">
      <w:pPr>
        <w:pStyle w:val="ListBullet"/>
        <w:rPr>
          <w:lang w:val="fr-FR"/>
        </w:rPr>
      </w:pPr>
      <w:r w:rsidRPr="00517E4D">
        <w:rPr>
          <w:b/>
          <w:lang w:val="fr-FR"/>
        </w:rPr>
        <w:t xml:space="preserve">Rendement Espéré : </w:t>
      </w:r>
      <w:r w:rsidRPr="00517E4D">
        <w:rPr>
          <w:lang w:val="fr-FR"/>
        </w:rPr>
        <w:t>Calculé à partir de la moyenne des rentabilités historiques annualisées.</w:t>
      </w:r>
    </w:p>
    <w:p w14:paraId="4B7D4CFD" w14:textId="77777777" w:rsidR="00137501" w:rsidRPr="00517E4D" w:rsidRDefault="00000000">
      <w:pPr>
        <w:pStyle w:val="ListBullet"/>
        <w:rPr>
          <w:lang w:val="fr-FR"/>
        </w:rPr>
      </w:pPr>
      <w:r w:rsidRPr="00517E4D">
        <w:rPr>
          <w:b/>
          <w:lang w:val="fr-FR"/>
        </w:rPr>
        <w:t xml:space="preserve">Mesure du Risque (Volatilité) : </w:t>
      </w:r>
      <w:r w:rsidRPr="00517E4D">
        <w:rPr>
          <w:lang w:val="fr-FR"/>
        </w:rPr>
        <w:t>Mesuré par la variance ou l'écart-type des rendements. Une volatilité élevée traduit une instabilité forte des cours au quotidien.</w:t>
      </w:r>
    </w:p>
    <w:p w14:paraId="20FF5C74" w14:textId="77777777" w:rsidR="00137501" w:rsidRPr="00517E4D" w:rsidRDefault="00000000">
      <w:pPr>
        <w:pStyle w:val="ListBullet"/>
        <w:rPr>
          <w:lang w:val="fr-FR"/>
        </w:rPr>
      </w:pPr>
      <w:r w:rsidRPr="00517E4D">
        <w:rPr>
          <w:b/>
          <w:lang w:val="fr-FR"/>
        </w:rPr>
        <w:t xml:space="preserve">Corrélation et Covariance : </w:t>
      </w:r>
      <w:r w:rsidRPr="00517E4D">
        <w:rPr>
          <w:lang w:val="fr-FR"/>
        </w:rPr>
        <w:t>La corrélation varie entre -1 et +1. Une corrélation de +1 indique que deux actifs évoluent dans le même sens (zéro réduction de risque). Combiner des actifs à faible corrélation ou négative permet d'atténuer la volatilité globale sans sacrifier le rendement (effet d'amortisseur).</w:t>
      </w:r>
    </w:p>
    <w:p w14:paraId="7F8AA01C" w14:textId="77777777" w:rsidR="00137501" w:rsidRPr="00517E4D" w:rsidRDefault="00000000">
      <w:pPr>
        <w:pStyle w:val="ListBullet"/>
        <w:rPr>
          <w:lang w:val="fr-FR"/>
        </w:rPr>
      </w:pPr>
      <w:r w:rsidRPr="00517E4D">
        <w:rPr>
          <w:b/>
          <w:lang w:val="fr-FR"/>
        </w:rPr>
        <w:t xml:space="preserve">Frontière Efficiente : </w:t>
      </w:r>
      <w:r w:rsidRPr="00517E4D">
        <w:rPr>
          <w:lang w:val="fr-FR"/>
        </w:rPr>
        <w:t>Courbe qui rassemble l'ensemble des portefeuilles offrant le rendement maximal possible pour chaque niveau de risque donné.</w:t>
      </w:r>
    </w:p>
    <w:p w14:paraId="042D4770" w14:textId="77777777" w:rsidR="00137501" w:rsidRPr="00517E4D" w:rsidRDefault="00000000">
      <w:pPr>
        <w:pStyle w:val="ListBullet"/>
        <w:rPr>
          <w:lang w:val="fr-FR"/>
        </w:rPr>
      </w:pPr>
      <w:r w:rsidRPr="00517E4D">
        <w:rPr>
          <w:b/>
          <w:lang w:val="fr-FR"/>
        </w:rPr>
        <w:t xml:space="preserve">Aversion au Risque : </w:t>
      </w:r>
      <w:r w:rsidRPr="00517E4D">
        <w:rPr>
          <w:lang w:val="fr-FR"/>
        </w:rPr>
        <w:t>Le modèle identifie les choix mathématiquement parfaits ; la décision finale dépend de la tolérance au risque spécifique de chaque investisseur.</w:t>
      </w:r>
    </w:p>
    <w:p w14:paraId="581A5181" w14:textId="77777777" w:rsidR="00137501" w:rsidRPr="00517E4D" w:rsidRDefault="00000000">
      <w:pPr>
        <w:spacing w:before="320" w:after="120"/>
        <w:rPr>
          <w:lang w:val="fr-FR"/>
        </w:rPr>
      </w:pPr>
      <w:r w:rsidRPr="00517E4D">
        <w:rPr>
          <w:rFonts w:ascii="Calibri" w:hAnsi="Calibri"/>
          <w:b/>
          <w:color w:val="1E3A8A"/>
          <w:sz w:val="28"/>
          <w:lang w:val="fr-FR"/>
        </w:rPr>
        <w:t>2. Explication Détaillée des Éléments du Code Python</w:t>
      </w:r>
    </w:p>
    <w:p w14:paraId="04B59616" w14:textId="77777777" w:rsidR="00137501" w:rsidRPr="00517E4D" w:rsidRDefault="00000000">
      <w:pPr>
        <w:rPr>
          <w:lang w:val="fr-FR"/>
        </w:rPr>
      </w:pPr>
      <w:r w:rsidRPr="00517E4D">
        <w:rPr>
          <w:lang w:val="fr-FR"/>
        </w:rPr>
        <w:t>Le script Python analyse un panier d'actifs diversifiés : AAPL, TLT, JNJ, KO, GLD, BTC-USD, TTE.PA, VNQ, DBA, EEM.</w:t>
      </w:r>
    </w:p>
    <w:p w14:paraId="454B83C3" w14:textId="77777777" w:rsidR="00137501" w:rsidRDefault="00000000">
      <w:pPr>
        <w:spacing w:before="240" w:after="80"/>
      </w:pPr>
      <w:r>
        <w:rPr>
          <w:rFonts w:ascii="Calibri" w:hAnsi="Calibri"/>
          <w:b/>
          <w:color w:val="0F172A"/>
          <w:sz w:val="24"/>
        </w:rPr>
        <w:t>A. Bibliothèques Utilisées</w:t>
      </w:r>
    </w:p>
    <w:p w14:paraId="7D0AAB66" w14:textId="77777777" w:rsidR="00137501" w:rsidRPr="00517E4D" w:rsidRDefault="00000000">
      <w:pPr>
        <w:pStyle w:val="ListBullet"/>
        <w:rPr>
          <w:lang w:val="fr-FR"/>
        </w:rPr>
      </w:pPr>
      <w:proofErr w:type="spellStart"/>
      <w:proofErr w:type="gramStart"/>
      <w:r w:rsidRPr="00517E4D">
        <w:rPr>
          <w:b/>
          <w:lang w:val="fr-FR"/>
        </w:rPr>
        <w:t>yfinance</w:t>
      </w:r>
      <w:proofErr w:type="spellEnd"/>
      <w:proofErr w:type="gramEnd"/>
      <w:r w:rsidRPr="00517E4D">
        <w:rPr>
          <w:b/>
          <w:lang w:val="fr-FR"/>
        </w:rPr>
        <w:t xml:space="preserve"> (</w:t>
      </w:r>
      <w:proofErr w:type="spellStart"/>
      <w:proofErr w:type="gramStart"/>
      <w:r w:rsidRPr="00517E4D">
        <w:rPr>
          <w:b/>
          <w:lang w:val="fr-FR"/>
        </w:rPr>
        <w:t>yf.download</w:t>
      </w:r>
      <w:proofErr w:type="spellEnd"/>
      <w:proofErr w:type="gramEnd"/>
      <w:r w:rsidRPr="00517E4D">
        <w:rPr>
          <w:b/>
          <w:lang w:val="fr-FR"/>
        </w:rPr>
        <w:t xml:space="preserve">) : </w:t>
      </w:r>
      <w:r w:rsidRPr="00517E4D">
        <w:rPr>
          <w:lang w:val="fr-FR"/>
        </w:rPr>
        <w:t>Permet de se connecter à Yahoo Finance et de télécharger automatiquement l'historique des prix ajustés.</w:t>
      </w:r>
    </w:p>
    <w:p w14:paraId="1D5E66E9" w14:textId="77777777" w:rsidR="00137501" w:rsidRPr="00517E4D" w:rsidRDefault="00000000">
      <w:pPr>
        <w:pStyle w:val="ListBullet"/>
        <w:rPr>
          <w:lang w:val="fr-FR"/>
        </w:rPr>
      </w:pPr>
      <w:proofErr w:type="gramStart"/>
      <w:r w:rsidRPr="00517E4D">
        <w:rPr>
          <w:b/>
          <w:lang w:val="fr-FR"/>
        </w:rPr>
        <w:t>pandas</w:t>
      </w:r>
      <w:proofErr w:type="gramEnd"/>
      <w:r w:rsidRPr="00517E4D">
        <w:rPr>
          <w:b/>
          <w:lang w:val="fr-FR"/>
        </w:rPr>
        <w:t xml:space="preserve"> &amp; </w:t>
      </w:r>
      <w:proofErr w:type="spellStart"/>
      <w:r w:rsidRPr="00517E4D">
        <w:rPr>
          <w:b/>
          <w:lang w:val="fr-FR"/>
        </w:rPr>
        <w:t>numpy</w:t>
      </w:r>
      <w:proofErr w:type="spellEnd"/>
      <w:r w:rsidRPr="00517E4D">
        <w:rPr>
          <w:b/>
          <w:lang w:val="fr-FR"/>
        </w:rPr>
        <w:t xml:space="preserve"> : </w:t>
      </w:r>
      <w:r w:rsidRPr="00517E4D">
        <w:rPr>
          <w:lang w:val="fr-FR"/>
        </w:rPr>
        <w:t>Assurent la manipulation matricielle des données, le calcul des rendements quotidiens (</w:t>
      </w:r>
      <w:proofErr w:type="spellStart"/>
      <w:r w:rsidRPr="00517E4D">
        <w:rPr>
          <w:lang w:val="fr-FR"/>
        </w:rPr>
        <w:t>pct_</w:t>
      </w:r>
      <w:proofErr w:type="gramStart"/>
      <w:r w:rsidRPr="00517E4D">
        <w:rPr>
          <w:lang w:val="fr-FR"/>
        </w:rPr>
        <w:t>change</w:t>
      </w:r>
      <w:proofErr w:type="spellEnd"/>
      <w:r w:rsidRPr="00517E4D">
        <w:rPr>
          <w:lang w:val="fr-FR"/>
        </w:rPr>
        <w:t>(</w:t>
      </w:r>
      <w:proofErr w:type="gramEnd"/>
      <w:r w:rsidRPr="00517E4D">
        <w:rPr>
          <w:lang w:val="fr-FR"/>
        </w:rPr>
        <w:t>)), des moyennes et de la matrice de covariance.</w:t>
      </w:r>
    </w:p>
    <w:p w14:paraId="499EC00D" w14:textId="77777777" w:rsidR="00137501" w:rsidRPr="00517E4D" w:rsidRDefault="00000000">
      <w:pPr>
        <w:pStyle w:val="ListBullet"/>
        <w:rPr>
          <w:lang w:val="fr-FR"/>
        </w:rPr>
      </w:pPr>
      <w:proofErr w:type="spellStart"/>
      <w:proofErr w:type="gramStart"/>
      <w:r w:rsidRPr="00517E4D">
        <w:rPr>
          <w:b/>
          <w:lang w:val="fr-FR"/>
        </w:rPr>
        <w:t>matplotlib</w:t>
      </w:r>
      <w:proofErr w:type="spellEnd"/>
      <w:proofErr w:type="gramEnd"/>
      <w:r w:rsidRPr="00517E4D">
        <w:rPr>
          <w:b/>
          <w:lang w:val="fr-FR"/>
        </w:rPr>
        <w:t xml:space="preserve"> &amp; </w:t>
      </w:r>
      <w:proofErr w:type="spellStart"/>
      <w:r w:rsidRPr="00517E4D">
        <w:rPr>
          <w:b/>
          <w:lang w:val="fr-FR"/>
        </w:rPr>
        <w:t>seaborn</w:t>
      </w:r>
      <w:proofErr w:type="spellEnd"/>
      <w:r w:rsidRPr="00517E4D">
        <w:rPr>
          <w:b/>
          <w:lang w:val="fr-FR"/>
        </w:rPr>
        <w:t xml:space="preserve"> : </w:t>
      </w:r>
      <w:r w:rsidRPr="00517E4D">
        <w:rPr>
          <w:lang w:val="fr-FR"/>
        </w:rPr>
        <w:t>Permettent de générer les visualisations graphiques (</w:t>
      </w:r>
      <w:proofErr w:type="spellStart"/>
      <w:r w:rsidRPr="00517E4D">
        <w:rPr>
          <w:lang w:val="fr-FR"/>
        </w:rPr>
        <w:t>heatmap</w:t>
      </w:r>
      <w:proofErr w:type="spellEnd"/>
      <w:r w:rsidRPr="00517E4D">
        <w:rPr>
          <w:lang w:val="fr-FR"/>
        </w:rPr>
        <w:t xml:space="preserve"> de corrélation et nuage de points de la frontière efficiente).</w:t>
      </w:r>
    </w:p>
    <w:p w14:paraId="6A3A9088" w14:textId="77777777" w:rsidR="00137501" w:rsidRPr="00517E4D" w:rsidRDefault="00000000">
      <w:pPr>
        <w:spacing w:before="240" w:after="80"/>
        <w:rPr>
          <w:lang w:val="fr-FR"/>
        </w:rPr>
      </w:pPr>
      <w:r w:rsidRPr="00517E4D">
        <w:rPr>
          <w:rFonts w:ascii="Calibri" w:hAnsi="Calibri"/>
          <w:b/>
          <w:color w:val="0F172A"/>
          <w:sz w:val="24"/>
          <w:lang w:val="fr-FR"/>
        </w:rPr>
        <w:t>B. Formules Mathématiques et Exemples Concrets</w:t>
      </w:r>
    </w:p>
    <w:p w14:paraId="63C79B21" w14:textId="77777777" w:rsidR="00137501" w:rsidRPr="00517E4D" w:rsidRDefault="00000000">
      <w:pPr>
        <w:spacing w:before="240" w:after="80"/>
        <w:rPr>
          <w:lang w:val="fr-FR"/>
        </w:rPr>
      </w:pPr>
      <w:r w:rsidRPr="00517E4D">
        <w:rPr>
          <w:rFonts w:ascii="Calibri" w:hAnsi="Calibri"/>
          <w:b/>
          <w:color w:val="0F172A"/>
          <w:sz w:val="24"/>
          <w:lang w:val="fr-FR"/>
        </w:rPr>
        <w:t>1. Volatilité et Rendement Annualisés</w:t>
      </w:r>
    </w:p>
    <w:p w14:paraId="7B972623" w14:textId="77777777" w:rsidR="00137501" w:rsidRPr="00517E4D" w:rsidRDefault="00000000">
      <w:pPr>
        <w:rPr>
          <w:lang w:val="fr-FR"/>
        </w:rPr>
      </w:pPr>
      <w:r w:rsidRPr="00517E4D">
        <w:rPr>
          <w:lang w:val="fr-FR"/>
        </w:rPr>
        <w:t>Les données quotidiennes sont annualisées en considérant 252 jours de bourse par an :</w:t>
      </w:r>
    </w:p>
    <w:p w14:paraId="709F1528" w14:textId="77777777" w:rsidR="00137501" w:rsidRPr="00517E4D" w:rsidRDefault="00000000">
      <w:pPr>
        <w:jc w:val="center"/>
        <w:rPr>
          <w:lang w:val="fr-FR"/>
        </w:rPr>
      </w:pPr>
      <w:r w:rsidRPr="00517E4D">
        <w:rPr>
          <w:rFonts w:ascii="Times New Roman" w:hAnsi="Times New Roman"/>
          <w:b/>
          <w:color w:val="1E3A8A"/>
          <w:lang w:val="fr-FR"/>
        </w:rPr>
        <w:lastRenderedPageBreak/>
        <w:t>Rendement Annuel = Moyenne Quotidienne × 252</w:t>
      </w:r>
      <w:r w:rsidRPr="00517E4D">
        <w:rPr>
          <w:rFonts w:ascii="Times New Roman" w:hAnsi="Times New Roman"/>
          <w:b/>
          <w:color w:val="1E3A8A"/>
          <w:lang w:val="fr-FR"/>
        </w:rPr>
        <w:br/>
        <w:t>Volatilité Annuelle = Écart-type Quotidien × √252</w:t>
      </w:r>
    </w:p>
    <w:p w14:paraId="21FB96E5" w14:textId="77777777" w:rsidR="00137501" w:rsidRPr="00517E4D" w:rsidRDefault="00000000">
      <w:pPr>
        <w:spacing w:before="240" w:after="80"/>
        <w:rPr>
          <w:lang w:val="fr-FR"/>
        </w:rPr>
      </w:pPr>
      <w:r w:rsidRPr="00517E4D">
        <w:rPr>
          <w:rFonts w:ascii="Calibri" w:hAnsi="Calibri"/>
          <w:b/>
          <w:color w:val="0F172A"/>
          <w:sz w:val="24"/>
          <w:lang w:val="fr-FR"/>
        </w:rPr>
        <w:t>2. Le Ratio de Sharpe</w:t>
      </w:r>
    </w:p>
    <w:p w14:paraId="4BD8904E" w14:textId="77777777" w:rsidR="00137501" w:rsidRPr="00517E4D" w:rsidRDefault="00000000">
      <w:pPr>
        <w:rPr>
          <w:lang w:val="fr-FR"/>
        </w:rPr>
      </w:pPr>
      <w:r w:rsidRPr="00517E4D">
        <w:rPr>
          <w:lang w:val="fr-FR"/>
        </w:rPr>
        <w:t>Le Ratio de Sharpe mesure l'efficacité d'un placement en évaluant le surcroît de rendement généré par unité de risque prise par rapport à un actif sans risque :</w:t>
      </w:r>
    </w:p>
    <w:p w14:paraId="4E24D441" w14:textId="77777777" w:rsidR="00137501" w:rsidRDefault="00000000">
      <w:pPr>
        <w:jc w:val="center"/>
        <w:rPr>
          <w:rFonts w:ascii="Times New Roman" w:hAnsi="Times New Roman"/>
          <w:b/>
          <w:color w:val="1E3A8A"/>
          <w:lang w:val="fr-FR"/>
        </w:rPr>
      </w:pPr>
      <w:r w:rsidRPr="00517E4D">
        <w:rPr>
          <w:rFonts w:ascii="Times New Roman" w:hAnsi="Times New Roman"/>
          <w:b/>
          <w:color w:val="1E3A8A"/>
          <w:lang w:val="fr-FR"/>
        </w:rPr>
        <w:t xml:space="preserve">Ratio de Sharpe = </w:t>
      </w:r>
      <w:proofErr w:type="gramStart"/>
      <w:r w:rsidRPr="00517E4D">
        <w:rPr>
          <w:rFonts w:ascii="Times New Roman" w:hAnsi="Times New Roman"/>
          <w:b/>
          <w:color w:val="1E3A8A"/>
          <w:lang w:val="fr-FR"/>
        </w:rPr>
        <w:t>( E</w:t>
      </w:r>
      <w:proofErr w:type="gramEnd"/>
      <w:r w:rsidRPr="00517E4D">
        <w:rPr>
          <w:rFonts w:ascii="Times New Roman" w:hAnsi="Times New Roman"/>
          <w:b/>
          <w:color w:val="1E3A8A"/>
          <w:lang w:val="fr-FR"/>
        </w:rPr>
        <w:t>(</w:t>
      </w:r>
      <w:proofErr w:type="spellStart"/>
      <w:r w:rsidRPr="00517E4D">
        <w:rPr>
          <w:rFonts w:ascii="Times New Roman" w:hAnsi="Times New Roman"/>
          <w:b/>
          <w:color w:val="1E3A8A"/>
          <w:lang w:val="fr-FR"/>
        </w:rPr>
        <w:t>Rp</w:t>
      </w:r>
      <w:proofErr w:type="spellEnd"/>
      <w:r w:rsidRPr="00517E4D">
        <w:rPr>
          <w:rFonts w:ascii="Times New Roman" w:hAnsi="Times New Roman"/>
          <w:b/>
          <w:color w:val="1E3A8A"/>
          <w:lang w:val="fr-FR"/>
        </w:rPr>
        <w:t xml:space="preserve">) − </w:t>
      </w:r>
      <w:proofErr w:type="gramStart"/>
      <w:r w:rsidRPr="00517E4D">
        <w:rPr>
          <w:rFonts w:ascii="Times New Roman" w:hAnsi="Times New Roman"/>
          <w:b/>
          <w:color w:val="1E3A8A"/>
          <w:lang w:val="fr-FR"/>
        </w:rPr>
        <w:t>Rf )</w:t>
      </w:r>
      <w:proofErr w:type="gramEnd"/>
      <w:r w:rsidRPr="00517E4D">
        <w:rPr>
          <w:rFonts w:ascii="Times New Roman" w:hAnsi="Times New Roman"/>
          <w:b/>
          <w:color w:val="1E3A8A"/>
          <w:lang w:val="fr-FR"/>
        </w:rPr>
        <w:t xml:space="preserve"> / </w:t>
      </w:r>
      <w:r>
        <w:rPr>
          <w:rFonts w:ascii="Times New Roman" w:hAnsi="Times New Roman"/>
          <w:b/>
          <w:color w:val="1E3A8A"/>
        </w:rPr>
        <w:t>σ</w:t>
      </w:r>
      <w:r w:rsidRPr="00517E4D">
        <w:rPr>
          <w:rFonts w:ascii="Times New Roman" w:hAnsi="Times New Roman"/>
          <w:b/>
          <w:color w:val="1E3A8A"/>
          <w:lang w:val="fr-FR"/>
        </w:rPr>
        <w:t>p</w:t>
      </w:r>
    </w:p>
    <w:p w14:paraId="21B33754" w14:textId="735E67D5" w:rsidR="00517E4D" w:rsidRPr="00517E4D" w:rsidRDefault="00517E4D" w:rsidP="00517E4D">
      <w:pPr>
        <w:jc w:val="center"/>
        <w:rPr>
          <w:rFonts w:ascii="Times New Roman" w:hAnsi="Times New Roman"/>
          <w:b/>
          <w:color w:val="1E3A8A"/>
          <w:lang w:val="fr-FR"/>
        </w:rPr>
      </w:pPr>
      <w:r>
        <w:rPr>
          <w:rFonts w:ascii="Times New Roman" w:hAnsi="Times New Roman"/>
          <w:b/>
          <w:color w:val="1E3A8A"/>
          <w:lang w:val="fr-FR"/>
        </w:rPr>
        <w:t xml:space="preserve">Rf= taux sans risque </w:t>
      </w:r>
    </w:p>
    <w:p w14:paraId="75EFAC3C" w14:textId="77777777" w:rsidR="00137501" w:rsidRDefault="00000000">
      <w:pPr>
        <w:ind w:left="360" w:right="360"/>
        <w:rPr>
          <w:lang w:val="fr-FR"/>
        </w:rPr>
      </w:pPr>
      <w:r w:rsidRPr="00517E4D">
        <w:rPr>
          <w:b/>
          <w:color w:val="1E3A8A"/>
          <w:lang w:val="fr-FR"/>
        </w:rPr>
        <w:t>Exemple de calcul du Ratio de Sharpe (avec le portefeuille optimal obtenu) :</w:t>
      </w:r>
      <w:r w:rsidRPr="00517E4D">
        <w:rPr>
          <w:b/>
          <w:color w:val="1E3A8A"/>
          <w:lang w:val="fr-FR"/>
        </w:rPr>
        <w:br/>
      </w:r>
      <w:r w:rsidRPr="00517E4D">
        <w:rPr>
          <w:lang w:val="fr-FR"/>
        </w:rPr>
        <w:t>Pour le portefeuille optimal obtenant un rendement espéré de 17,53 %, un taux sans risque de 2,5 % et une volatilité de 9,04 % :</w:t>
      </w:r>
      <w:r w:rsidRPr="00517E4D">
        <w:rPr>
          <w:lang w:val="fr-FR"/>
        </w:rPr>
        <w:br/>
        <w:t xml:space="preserve">Ratio de Sharpe = </w:t>
      </w:r>
      <w:proofErr w:type="gramStart"/>
      <w:r w:rsidRPr="00517E4D">
        <w:rPr>
          <w:lang w:val="fr-FR"/>
        </w:rPr>
        <w:t>( 0</w:t>
      </w:r>
      <w:proofErr w:type="gramEnd"/>
      <w:r w:rsidRPr="00517E4D">
        <w:rPr>
          <w:lang w:val="fr-FR"/>
        </w:rPr>
        <w:t xml:space="preserve">,1753 − </w:t>
      </w:r>
      <w:proofErr w:type="gramStart"/>
      <w:r w:rsidRPr="00517E4D">
        <w:rPr>
          <w:lang w:val="fr-FR"/>
        </w:rPr>
        <w:t>0,025 )</w:t>
      </w:r>
      <w:proofErr w:type="gramEnd"/>
      <w:r w:rsidRPr="00517E4D">
        <w:rPr>
          <w:lang w:val="fr-FR"/>
        </w:rPr>
        <w:t xml:space="preserve"> / 0,0904 = 0,1503 / 0,0904 ≈ 1,66</w:t>
      </w:r>
      <w:r w:rsidRPr="00517E4D">
        <w:rPr>
          <w:lang w:val="fr-FR"/>
        </w:rPr>
        <w:br/>
        <w:t>Un ratio de 1,66 indique une excellente performance ajustée du risque.</w:t>
      </w:r>
    </w:p>
    <w:p w14:paraId="3A2FCC54" w14:textId="77777777" w:rsidR="00517E4D" w:rsidRPr="00517E4D" w:rsidRDefault="00517E4D">
      <w:pPr>
        <w:ind w:left="360" w:right="360"/>
        <w:rPr>
          <w:lang w:val="fr-FR"/>
        </w:rPr>
      </w:pPr>
    </w:p>
    <w:p w14:paraId="06AF65D9" w14:textId="77777777" w:rsidR="00137501" w:rsidRPr="00517E4D" w:rsidRDefault="00000000">
      <w:pPr>
        <w:spacing w:before="240" w:after="80"/>
        <w:rPr>
          <w:lang w:val="fr-FR"/>
        </w:rPr>
      </w:pPr>
      <w:r w:rsidRPr="00517E4D">
        <w:rPr>
          <w:rFonts w:ascii="Calibri" w:hAnsi="Calibri"/>
          <w:b/>
          <w:color w:val="0F172A"/>
          <w:sz w:val="24"/>
          <w:lang w:val="fr-FR"/>
        </w:rPr>
        <w:t>3. Simulation de Monte Carlo et Matrice de Covariance</w:t>
      </w:r>
    </w:p>
    <w:p w14:paraId="11E2E677" w14:textId="77777777" w:rsidR="00137501" w:rsidRPr="00517E4D" w:rsidRDefault="00000000">
      <w:pPr>
        <w:rPr>
          <w:lang w:val="fr-FR"/>
        </w:rPr>
      </w:pPr>
      <w:r w:rsidRPr="00517E4D">
        <w:rPr>
          <w:lang w:val="fr-FR"/>
        </w:rPr>
        <w:t>Pour tracer la frontière efficiente, le code génère 300 000 portefeuilles virtuels avec des poids aléatoires normalisés (</w:t>
      </w:r>
      <w:r>
        <w:t>Σ</w:t>
      </w:r>
      <w:r w:rsidRPr="00517E4D">
        <w:rPr>
          <w:lang w:val="fr-FR"/>
        </w:rPr>
        <w:t xml:space="preserve"> </w:t>
      </w:r>
      <w:proofErr w:type="spellStart"/>
      <w:r w:rsidRPr="00517E4D">
        <w:rPr>
          <w:lang w:val="fr-FR"/>
        </w:rPr>
        <w:t>wi</w:t>
      </w:r>
      <w:proofErr w:type="spellEnd"/>
      <w:r w:rsidRPr="00517E4D">
        <w:rPr>
          <w:lang w:val="fr-FR"/>
        </w:rPr>
        <w:t xml:space="preserve"> = 1).</w:t>
      </w:r>
    </w:p>
    <w:p w14:paraId="48B01249" w14:textId="77777777" w:rsidR="00137501" w:rsidRPr="00517E4D" w:rsidRDefault="00000000">
      <w:pPr>
        <w:pStyle w:val="ListBullet"/>
        <w:rPr>
          <w:lang w:val="fr-FR"/>
        </w:rPr>
      </w:pPr>
      <w:r w:rsidRPr="00517E4D">
        <w:rPr>
          <w:b/>
          <w:lang w:val="fr-FR"/>
        </w:rPr>
        <w:t xml:space="preserve">Rendement du Portefeuille : </w:t>
      </w:r>
      <w:r w:rsidRPr="00517E4D">
        <w:rPr>
          <w:lang w:val="fr-FR"/>
        </w:rPr>
        <w:t>E(</w:t>
      </w:r>
      <w:proofErr w:type="spellStart"/>
      <w:r w:rsidRPr="00517E4D">
        <w:rPr>
          <w:lang w:val="fr-FR"/>
        </w:rPr>
        <w:t>Rp</w:t>
      </w:r>
      <w:proofErr w:type="spellEnd"/>
      <w:r w:rsidRPr="00517E4D">
        <w:rPr>
          <w:lang w:val="fr-FR"/>
        </w:rPr>
        <w:t>) = W · R</w:t>
      </w:r>
    </w:p>
    <w:p w14:paraId="25BA570F" w14:textId="77777777" w:rsidR="00137501" w:rsidRPr="00517E4D" w:rsidRDefault="00000000">
      <w:pPr>
        <w:pStyle w:val="ListBullet"/>
        <w:rPr>
          <w:lang w:val="fr-FR"/>
        </w:rPr>
      </w:pPr>
      <w:r w:rsidRPr="00517E4D">
        <w:rPr>
          <w:b/>
          <w:lang w:val="fr-FR"/>
        </w:rPr>
        <w:t xml:space="preserve">Risque du Portefeuille : </w:t>
      </w:r>
      <w:r>
        <w:t>σ</w:t>
      </w:r>
      <w:r w:rsidRPr="00517E4D">
        <w:rPr>
          <w:lang w:val="fr-FR"/>
        </w:rPr>
        <w:t xml:space="preserve">p = </w:t>
      </w:r>
      <w:proofErr w:type="gramStart"/>
      <w:r w:rsidRPr="00517E4D">
        <w:rPr>
          <w:lang w:val="fr-FR"/>
        </w:rPr>
        <w:t>√( W</w:t>
      </w:r>
      <w:r>
        <w:t>ᵀ</w:t>
      </w:r>
      <w:proofErr w:type="gramEnd"/>
      <w:r w:rsidRPr="00517E4D">
        <w:rPr>
          <w:lang w:val="fr-FR"/>
        </w:rPr>
        <w:t xml:space="preserve"> · </w:t>
      </w:r>
      <w:r>
        <w:t>Σ</w:t>
      </w:r>
      <w:r w:rsidRPr="00517E4D">
        <w:rPr>
          <w:lang w:val="fr-FR"/>
        </w:rPr>
        <w:t xml:space="preserve"> · </w:t>
      </w:r>
      <w:proofErr w:type="gramStart"/>
      <w:r w:rsidRPr="00517E4D">
        <w:rPr>
          <w:lang w:val="fr-FR"/>
        </w:rPr>
        <w:t>W )</w:t>
      </w:r>
      <w:proofErr w:type="gramEnd"/>
    </w:p>
    <w:p w14:paraId="78AA9A6F" w14:textId="77777777" w:rsidR="00137501" w:rsidRPr="00517E4D" w:rsidRDefault="00000000">
      <w:pPr>
        <w:spacing w:before="320" w:after="120"/>
        <w:rPr>
          <w:lang w:val="fr-FR"/>
        </w:rPr>
      </w:pPr>
      <w:r w:rsidRPr="00517E4D">
        <w:rPr>
          <w:rFonts w:ascii="Calibri" w:hAnsi="Calibri"/>
          <w:b/>
          <w:color w:val="1E3A8A"/>
          <w:sz w:val="28"/>
          <w:lang w:val="fr-FR"/>
        </w:rPr>
        <w:t>3. Composition et Analyse du Portefeuille Optimal (Étoile Rouge)</w:t>
      </w:r>
    </w:p>
    <w:p w14:paraId="43F3992C" w14:textId="77777777" w:rsidR="00137501" w:rsidRDefault="00000000">
      <w:pPr>
        <w:spacing w:before="160" w:after="160"/>
        <w:rPr>
          <w:rFonts w:ascii="Consolas" w:hAnsi="Consolas"/>
          <w:sz w:val="19"/>
          <w:lang w:val="fr-FR"/>
        </w:rPr>
      </w:pPr>
      <w:r w:rsidRPr="00517E4D">
        <w:rPr>
          <w:rFonts w:ascii="Consolas" w:hAnsi="Consolas"/>
          <w:sz w:val="19"/>
          <w:lang w:val="fr-FR"/>
        </w:rPr>
        <w:t xml:space="preserve">=== COMPOSITION DU PORTEFEUILLE OPTIMAL : </w:t>
      </w:r>
      <w:proofErr w:type="spellStart"/>
      <w:r w:rsidRPr="00517E4D">
        <w:rPr>
          <w:rFonts w:ascii="Consolas" w:hAnsi="Consolas"/>
          <w:sz w:val="19"/>
          <w:lang w:val="fr-FR"/>
        </w:rPr>
        <w:t>etoile</w:t>
      </w:r>
      <w:proofErr w:type="spellEnd"/>
      <w:r w:rsidRPr="00517E4D">
        <w:rPr>
          <w:rFonts w:ascii="Consolas" w:hAnsi="Consolas"/>
          <w:sz w:val="19"/>
          <w:lang w:val="fr-FR"/>
        </w:rPr>
        <w:t xml:space="preserve"> rouge ===</w:t>
      </w:r>
      <w:r w:rsidRPr="00517E4D">
        <w:rPr>
          <w:rFonts w:ascii="Consolas" w:hAnsi="Consolas"/>
          <w:sz w:val="19"/>
          <w:lang w:val="fr-FR"/>
        </w:rPr>
        <w:br/>
        <w:t>Rendement espéré</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17.53%</w:t>
      </w:r>
      <w:r w:rsidRPr="00517E4D">
        <w:rPr>
          <w:rFonts w:ascii="Consolas" w:hAnsi="Consolas"/>
          <w:sz w:val="19"/>
          <w:lang w:val="fr-FR"/>
        </w:rPr>
        <w:br/>
        <w:t>Risque (Volatilité</w:t>
      </w:r>
      <w:proofErr w:type="gramStart"/>
      <w:r w:rsidRPr="00517E4D">
        <w:rPr>
          <w:rFonts w:ascii="Consolas" w:hAnsi="Consolas"/>
          <w:sz w:val="19"/>
          <w:lang w:val="fr-FR"/>
        </w:rPr>
        <w:t>):</w:t>
      </w:r>
      <w:proofErr w:type="gramEnd"/>
      <w:r w:rsidRPr="00517E4D">
        <w:rPr>
          <w:rFonts w:ascii="Consolas" w:hAnsi="Consolas"/>
          <w:sz w:val="19"/>
          <w:lang w:val="fr-FR"/>
        </w:rPr>
        <w:t xml:space="preserve"> 9.04%</w:t>
      </w:r>
      <w:r w:rsidRPr="00517E4D">
        <w:rPr>
          <w:rFonts w:ascii="Consolas" w:hAnsi="Consolas"/>
          <w:sz w:val="19"/>
          <w:lang w:val="fr-FR"/>
        </w:rPr>
        <w:br/>
        <w:t xml:space="preserve">Ratio de Sharpe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1.66</w:t>
      </w:r>
      <w:r w:rsidRPr="00517E4D">
        <w:rPr>
          <w:rFonts w:ascii="Consolas" w:hAnsi="Consolas"/>
          <w:sz w:val="19"/>
          <w:lang w:val="fr-FR"/>
        </w:rPr>
        <w:br/>
        <w:t>Répartition des poids :</w:t>
      </w:r>
      <w:r w:rsidRPr="00517E4D">
        <w:rPr>
          <w:rFonts w:ascii="Consolas" w:hAnsi="Consolas"/>
          <w:sz w:val="19"/>
          <w:lang w:val="fr-FR"/>
        </w:rPr>
        <w:br/>
        <w:t xml:space="preserve">  • AAPL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5.71%</w:t>
      </w:r>
      <w:r w:rsidRPr="00517E4D">
        <w:rPr>
          <w:rFonts w:ascii="Consolas" w:hAnsi="Consolas"/>
          <w:sz w:val="19"/>
          <w:lang w:val="fr-FR"/>
        </w:rPr>
        <w:br/>
        <w:t xml:space="preserve">  • BTC-</w:t>
      </w:r>
      <w:proofErr w:type="gramStart"/>
      <w:r w:rsidRPr="00517E4D">
        <w:rPr>
          <w:rFonts w:ascii="Consolas" w:hAnsi="Consolas"/>
          <w:sz w:val="19"/>
          <w:lang w:val="fr-FR"/>
        </w:rPr>
        <w:t>USD  :</w:t>
      </w:r>
      <w:proofErr w:type="gramEnd"/>
      <w:r w:rsidRPr="00517E4D">
        <w:rPr>
          <w:rFonts w:ascii="Consolas" w:hAnsi="Consolas"/>
          <w:sz w:val="19"/>
          <w:lang w:val="fr-FR"/>
        </w:rPr>
        <w:t xml:space="preserve">   0.78%</w:t>
      </w:r>
      <w:r w:rsidRPr="00517E4D">
        <w:rPr>
          <w:rFonts w:ascii="Consolas" w:hAnsi="Consolas"/>
          <w:sz w:val="19"/>
          <w:lang w:val="fr-FR"/>
        </w:rPr>
        <w:br/>
        <w:t xml:space="preserve">  • DBA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26.60%</w:t>
      </w:r>
      <w:r w:rsidRPr="00517E4D">
        <w:rPr>
          <w:rFonts w:ascii="Consolas" w:hAnsi="Consolas"/>
          <w:sz w:val="19"/>
          <w:lang w:val="fr-FR"/>
        </w:rPr>
        <w:br/>
        <w:t xml:space="preserve">  • EEM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0.94%</w:t>
      </w:r>
      <w:r w:rsidRPr="00517E4D">
        <w:rPr>
          <w:rFonts w:ascii="Consolas" w:hAnsi="Consolas"/>
          <w:sz w:val="19"/>
          <w:lang w:val="fr-FR"/>
        </w:rPr>
        <w:br/>
        <w:t xml:space="preserve">  • GLD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23.79%</w:t>
      </w:r>
      <w:r w:rsidRPr="00517E4D">
        <w:rPr>
          <w:rFonts w:ascii="Consolas" w:hAnsi="Consolas"/>
          <w:sz w:val="19"/>
          <w:lang w:val="fr-FR"/>
        </w:rPr>
        <w:br/>
        <w:t xml:space="preserve">  • JNJ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11.10%</w:t>
      </w:r>
      <w:r w:rsidRPr="00517E4D">
        <w:rPr>
          <w:rFonts w:ascii="Consolas" w:hAnsi="Consolas"/>
          <w:sz w:val="19"/>
          <w:lang w:val="fr-FR"/>
        </w:rPr>
        <w:br/>
        <w:t xml:space="preserve">  • KO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14.61%</w:t>
      </w:r>
      <w:r w:rsidRPr="00517E4D">
        <w:rPr>
          <w:rFonts w:ascii="Consolas" w:hAnsi="Consolas"/>
          <w:sz w:val="19"/>
          <w:lang w:val="fr-FR"/>
        </w:rPr>
        <w:br/>
        <w:t xml:space="preserve">  • TLT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2.26%</w:t>
      </w:r>
      <w:r w:rsidRPr="00517E4D">
        <w:rPr>
          <w:rFonts w:ascii="Consolas" w:hAnsi="Consolas"/>
          <w:sz w:val="19"/>
          <w:lang w:val="fr-FR"/>
        </w:rPr>
        <w:br/>
        <w:t xml:space="preserve">  • TTE.PA</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13.03%</w:t>
      </w:r>
      <w:r w:rsidRPr="00517E4D">
        <w:rPr>
          <w:rFonts w:ascii="Consolas" w:hAnsi="Consolas"/>
          <w:sz w:val="19"/>
          <w:lang w:val="fr-FR"/>
        </w:rPr>
        <w:br/>
        <w:t xml:space="preserve">  • VNQ   </w:t>
      </w:r>
      <w:proofErr w:type="gramStart"/>
      <w:r w:rsidRPr="00517E4D">
        <w:rPr>
          <w:rFonts w:ascii="Consolas" w:hAnsi="Consolas"/>
          <w:sz w:val="19"/>
          <w:lang w:val="fr-FR"/>
        </w:rPr>
        <w:t xml:space="preserve">   :</w:t>
      </w:r>
      <w:proofErr w:type="gramEnd"/>
      <w:r w:rsidRPr="00517E4D">
        <w:rPr>
          <w:rFonts w:ascii="Consolas" w:hAnsi="Consolas"/>
          <w:sz w:val="19"/>
          <w:lang w:val="fr-FR"/>
        </w:rPr>
        <w:t xml:space="preserve">   1.18%</w:t>
      </w:r>
    </w:p>
    <w:p w14:paraId="33640238" w14:textId="77777777" w:rsidR="00517E4D" w:rsidRPr="00517E4D" w:rsidRDefault="00517E4D">
      <w:pPr>
        <w:spacing w:before="160" w:after="160"/>
        <w:rPr>
          <w:lang w:val="fr-FR"/>
        </w:rPr>
      </w:pPr>
    </w:p>
    <w:tbl>
      <w:tblPr>
        <w:tblW w:w="0" w:type="auto"/>
        <w:jc w:val="center"/>
        <w:tblLook w:val="04A0" w:firstRow="1" w:lastRow="0" w:firstColumn="1" w:lastColumn="0" w:noHBand="0" w:noVBand="1"/>
      </w:tblPr>
      <w:tblGrid>
        <w:gridCol w:w="3312"/>
        <w:gridCol w:w="3312"/>
        <w:gridCol w:w="3312"/>
      </w:tblGrid>
      <w:tr w:rsidR="00137501" w14:paraId="35935AFE" w14:textId="77777777">
        <w:trPr>
          <w:jc w:val="center"/>
        </w:trPr>
        <w:tc>
          <w:tcPr>
            <w:tcW w:w="3312" w:type="dxa"/>
            <w:shd w:val="clear" w:color="auto" w:fill="1E3A8A"/>
          </w:tcPr>
          <w:p w14:paraId="734808C5" w14:textId="77777777" w:rsidR="00137501" w:rsidRDefault="00000000">
            <w:proofErr w:type="spellStart"/>
            <w:r>
              <w:rPr>
                <w:b/>
                <w:color w:val="FFFFFF"/>
              </w:rPr>
              <w:t>Actif</w:t>
            </w:r>
            <w:proofErr w:type="spellEnd"/>
          </w:p>
        </w:tc>
        <w:tc>
          <w:tcPr>
            <w:tcW w:w="3312" w:type="dxa"/>
            <w:shd w:val="clear" w:color="auto" w:fill="1E3A8A"/>
          </w:tcPr>
          <w:p w14:paraId="2D855AF7" w14:textId="77777777" w:rsidR="00137501" w:rsidRDefault="00000000">
            <w:r>
              <w:rPr>
                <w:b/>
                <w:color w:val="FFFFFF"/>
              </w:rPr>
              <w:t>Description / Secteur</w:t>
            </w:r>
          </w:p>
        </w:tc>
        <w:tc>
          <w:tcPr>
            <w:tcW w:w="3312" w:type="dxa"/>
            <w:shd w:val="clear" w:color="auto" w:fill="1E3A8A"/>
          </w:tcPr>
          <w:p w14:paraId="6FFF70B2" w14:textId="77777777" w:rsidR="00137501" w:rsidRDefault="00000000">
            <w:r>
              <w:rPr>
                <w:b/>
                <w:color w:val="FFFFFF"/>
              </w:rPr>
              <w:t>Poids (%)</w:t>
            </w:r>
          </w:p>
        </w:tc>
      </w:tr>
      <w:tr w:rsidR="00137501" w14:paraId="5D0B69B7" w14:textId="77777777">
        <w:trPr>
          <w:jc w:val="center"/>
        </w:trPr>
        <w:tc>
          <w:tcPr>
            <w:tcW w:w="3312" w:type="dxa"/>
          </w:tcPr>
          <w:p w14:paraId="7116A58D" w14:textId="77777777" w:rsidR="00137501" w:rsidRDefault="00000000">
            <w:r>
              <w:lastRenderedPageBreak/>
              <w:t>DBA</w:t>
            </w:r>
          </w:p>
        </w:tc>
        <w:tc>
          <w:tcPr>
            <w:tcW w:w="3312" w:type="dxa"/>
          </w:tcPr>
          <w:p w14:paraId="0CDA05EA" w14:textId="77777777" w:rsidR="00137501" w:rsidRPr="00517E4D" w:rsidRDefault="00000000">
            <w:pPr>
              <w:rPr>
                <w:lang w:val="fr-FR"/>
              </w:rPr>
            </w:pPr>
            <w:r w:rsidRPr="00517E4D">
              <w:rPr>
                <w:lang w:val="fr-FR"/>
              </w:rPr>
              <w:t>Matières premières agricoles (</w:t>
            </w:r>
            <w:proofErr w:type="spellStart"/>
            <w:r w:rsidRPr="00517E4D">
              <w:rPr>
                <w:lang w:val="fr-FR"/>
              </w:rPr>
              <w:t>Invesco</w:t>
            </w:r>
            <w:proofErr w:type="spellEnd"/>
            <w:r w:rsidRPr="00517E4D">
              <w:rPr>
                <w:lang w:val="fr-FR"/>
              </w:rPr>
              <w:t xml:space="preserve"> DB Agriculture)</w:t>
            </w:r>
          </w:p>
        </w:tc>
        <w:tc>
          <w:tcPr>
            <w:tcW w:w="3312" w:type="dxa"/>
          </w:tcPr>
          <w:p w14:paraId="2321A6DE" w14:textId="77777777" w:rsidR="00137501" w:rsidRDefault="00000000">
            <w:r>
              <w:t>26,60 %</w:t>
            </w:r>
          </w:p>
        </w:tc>
      </w:tr>
      <w:tr w:rsidR="00137501" w14:paraId="402F0B19" w14:textId="77777777">
        <w:trPr>
          <w:jc w:val="center"/>
        </w:trPr>
        <w:tc>
          <w:tcPr>
            <w:tcW w:w="3312" w:type="dxa"/>
            <w:shd w:val="clear" w:color="auto" w:fill="F1F5F9"/>
          </w:tcPr>
          <w:p w14:paraId="19E36DDF" w14:textId="77777777" w:rsidR="00137501" w:rsidRDefault="00000000">
            <w:r>
              <w:t>GLD</w:t>
            </w:r>
          </w:p>
        </w:tc>
        <w:tc>
          <w:tcPr>
            <w:tcW w:w="3312" w:type="dxa"/>
            <w:shd w:val="clear" w:color="auto" w:fill="F1F5F9"/>
          </w:tcPr>
          <w:p w14:paraId="44FAB610" w14:textId="77777777" w:rsidR="00137501" w:rsidRDefault="00000000">
            <w:r>
              <w:t>Or / Valeur refuge (SPDR Gold Shares)</w:t>
            </w:r>
          </w:p>
        </w:tc>
        <w:tc>
          <w:tcPr>
            <w:tcW w:w="3312" w:type="dxa"/>
            <w:shd w:val="clear" w:color="auto" w:fill="F1F5F9"/>
          </w:tcPr>
          <w:p w14:paraId="61276A8A" w14:textId="77777777" w:rsidR="00137501" w:rsidRDefault="00000000">
            <w:r>
              <w:t>23,79 %</w:t>
            </w:r>
          </w:p>
        </w:tc>
      </w:tr>
      <w:tr w:rsidR="00137501" w14:paraId="6ACB4084" w14:textId="77777777">
        <w:trPr>
          <w:jc w:val="center"/>
        </w:trPr>
        <w:tc>
          <w:tcPr>
            <w:tcW w:w="3312" w:type="dxa"/>
          </w:tcPr>
          <w:p w14:paraId="67C98530" w14:textId="77777777" w:rsidR="00137501" w:rsidRDefault="00000000">
            <w:r>
              <w:t>KO</w:t>
            </w:r>
          </w:p>
        </w:tc>
        <w:tc>
          <w:tcPr>
            <w:tcW w:w="3312" w:type="dxa"/>
          </w:tcPr>
          <w:p w14:paraId="39076ABD" w14:textId="77777777" w:rsidR="00137501" w:rsidRPr="00517E4D" w:rsidRDefault="00000000">
            <w:pPr>
              <w:rPr>
                <w:lang w:val="fr-FR"/>
              </w:rPr>
            </w:pPr>
            <w:r w:rsidRPr="00517E4D">
              <w:rPr>
                <w:lang w:val="fr-FR"/>
              </w:rPr>
              <w:t>Coca-Cola (Consommation de base)</w:t>
            </w:r>
          </w:p>
        </w:tc>
        <w:tc>
          <w:tcPr>
            <w:tcW w:w="3312" w:type="dxa"/>
          </w:tcPr>
          <w:p w14:paraId="6C96A881" w14:textId="77777777" w:rsidR="00137501" w:rsidRDefault="00000000">
            <w:r>
              <w:t>14,61 %</w:t>
            </w:r>
          </w:p>
        </w:tc>
      </w:tr>
      <w:tr w:rsidR="00137501" w14:paraId="765302E1" w14:textId="77777777">
        <w:trPr>
          <w:jc w:val="center"/>
        </w:trPr>
        <w:tc>
          <w:tcPr>
            <w:tcW w:w="3312" w:type="dxa"/>
            <w:shd w:val="clear" w:color="auto" w:fill="F1F5F9"/>
          </w:tcPr>
          <w:p w14:paraId="1276F820" w14:textId="77777777" w:rsidR="00137501" w:rsidRDefault="00000000">
            <w:r>
              <w:t>TTE.PA</w:t>
            </w:r>
          </w:p>
        </w:tc>
        <w:tc>
          <w:tcPr>
            <w:tcW w:w="3312" w:type="dxa"/>
            <w:shd w:val="clear" w:color="auto" w:fill="F1F5F9"/>
          </w:tcPr>
          <w:p w14:paraId="791993F3" w14:textId="77777777" w:rsidR="00137501" w:rsidRDefault="00000000">
            <w:r>
              <w:t>TotalEnergies (Énergie)</w:t>
            </w:r>
          </w:p>
        </w:tc>
        <w:tc>
          <w:tcPr>
            <w:tcW w:w="3312" w:type="dxa"/>
            <w:shd w:val="clear" w:color="auto" w:fill="F1F5F9"/>
          </w:tcPr>
          <w:p w14:paraId="654DD78C" w14:textId="77777777" w:rsidR="00137501" w:rsidRDefault="00000000">
            <w:r>
              <w:t>13,03 %</w:t>
            </w:r>
          </w:p>
        </w:tc>
      </w:tr>
      <w:tr w:rsidR="00137501" w14:paraId="5132634C" w14:textId="77777777">
        <w:trPr>
          <w:jc w:val="center"/>
        </w:trPr>
        <w:tc>
          <w:tcPr>
            <w:tcW w:w="3312" w:type="dxa"/>
          </w:tcPr>
          <w:p w14:paraId="69A25697" w14:textId="77777777" w:rsidR="00137501" w:rsidRDefault="00000000">
            <w:r>
              <w:t>JNJ</w:t>
            </w:r>
          </w:p>
        </w:tc>
        <w:tc>
          <w:tcPr>
            <w:tcW w:w="3312" w:type="dxa"/>
          </w:tcPr>
          <w:p w14:paraId="13E0CB6E" w14:textId="77777777" w:rsidR="00137501" w:rsidRDefault="00000000">
            <w:r>
              <w:t>Johnson &amp; Johnson (Santé)</w:t>
            </w:r>
          </w:p>
        </w:tc>
        <w:tc>
          <w:tcPr>
            <w:tcW w:w="3312" w:type="dxa"/>
          </w:tcPr>
          <w:p w14:paraId="31E8F601" w14:textId="77777777" w:rsidR="00137501" w:rsidRDefault="00000000">
            <w:r>
              <w:t>11,10 %</w:t>
            </w:r>
          </w:p>
        </w:tc>
      </w:tr>
      <w:tr w:rsidR="00137501" w14:paraId="3193583E" w14:textId="77777777">
        <w:trPr>
          <w:jc w:val="center"/>
        </w:trPr>
        <w:tc>
          <w:tcPr>
            <w:tcW w:w="3312" w:type="dxa"/>
            <w:shd w:val="clear" w:color="auto" w:fill="F1F5F9"/>
          </w:tcPr>
          <w:p w14:paraId="151839C5" w14:textId="77777777" w:rsidR="00137501" w:rsidRDefault="00000000">
            <w:r>
              <w:t>AAPL</w:t>
            </w:r>
          </w:p>
        </w:tc>
        <w:tc>
          <w:tcPr>
            <w:tcW w:w="3312" w:type="dxa"/>
            <w:shd w:val="clear" w:color="auto" w:fill="F1F5F9"/>
          </w:tcPr>
          <w:p w14:paraId="5D6D0844" w14:textId="77777777" w:rsidR="00137501" w:rsidRDefault="00000000">
            <w:r>
              <w:t>Apple (Technologie)</w:t>
            </w:r>
          </w:p>
        </w:tc>
        <w:tc>
          <w:tcPr>
            <w:tcW w:w="3312" w:type="dxa"/>
            <w:shd w:val="clear" w:color="auto" w:fill="F1F5F9"/>
          </w:tcPr>
          <w:p w14:paraId="3AE30068" w14:textId="77777777" w:rsidR="00137501" w:rsidRDefault="00000000">
            <w:r>
              <w:t>5,71 %</w:t>
            </w:r>
          </w:p>
        </w:tc>
      </w:tr>
      <w:tr w:rsidR="00137501" w14:paraId="02F7CD41" w14:textId="77777777">
        <w:trPr>
          <w:jc w:val="center"/>
        </w:trPr>
        <w:tc>
          <w:tcPr>
            <w:tcW w:w="3312" w:type="dxa"/>
          </w:tcPr>
          <w:p w14:paraId="7CAD20C8" w14:textId="77777777" w:rsidR="00137501" w:rsidRDefault="00000000">
            <w:r>
              <w:t>TLT</w:t>
            </w:r>
          </w:p>
        </w:tc>
        <w:tc>
          <w:tcPr>
            <w:tcW w:w="3312" w:type="dxa"/>
          </w:tcPr>
          <w:p w14:paraId="18CF85D4" w14:textId="77777777" w:rsidR="00137501" w:rsidRPr="00517E4D" w:rsidRDefault="00000000">
            <w:pPr>
              <w:rPr>
                <w:lang w:val="fr-FR"/>
              </w:rPr>
            </w:pPr>
            <w:r w:rsidRPr="00517E4D">
              <w:rPr>
                <w:lang w:val="fr-FR"/>
              </w:rPr>
              <w:t>Obligations d'État US à long terme</w:t>
            </w:r>
          </w:p>
        </w:tc>
        <w:tc>
          <w:tcPr>
            <w:tcW w:w="3312" w:type="dxa"/>
          </w:tcPr>
          <w:p w14:paraId="6C4DE284" w14:textId="77777777" w:rsidR="00137501" w:rsidRDefault="00000000">
            <w:r>
              <w:t>2,26 %</w:t>
            </w:r>
          </w:p>
        </w:tc>
      </w:tr>
      <w:tr w:rsidR="00137501" w14:paraId="2BD6E9D5" w14:textId="77777777">
        <w:trPr>
          <w:jc w:val="center"/>
        </w:trPr>
        <w:tc>
          <w:tcPr>
            <w:tcW w:w="3312" w:type="dxa"/>
            <w:shd w:val="clear" w:color="auto" w:fill="F1F5F9"/>
          </w:tcPr>
          <w:p w14:paraId="7789EE48" w14:textId="77777777" w:rsidR="00137501" w:rsidRDefault="00000000">
            <w:r>
              <w:t>VNQ</w:t>
            </w:r>
          </w:p>
        </w:tc>
        <w:tc>
          <w:tcPr>
            <w:tcW w:w="3312" w:type="dxa"/>
            <w:shd w:val="clear" w:color="auto" w:fill="F1F5F9"/>
          </w:tcPr>
          <w:p w14:paraId="01873ECB" w14:textId="77777777" w:rsidR="00137501" w:rsidRDefault="00000000">
            <w:r>
              <w:t>Immobilier américain (REITs)</w:t>
            </w:r>
          </w:p>
        </w:tc>
        <w:tc>
          <w:tcPr>
            <w:tcW w:w="3312" w:type="dxa"/>
            <w:shd w:val="clear" w:color="auto" w:fill="F1F5F9"/>
          </w:tcPr>
          <w:p w14:paraId="3C8094BD" w14:textId="77777777" w:rsidR="00137501" w:rsidRDefault="00000000">
            <w:r>
              <w:t>1,18 %</w:t>
            </w:r>
          </w:p>
        </w:tc>
      </w:tr>
      <w:tr w:rsidR="00137501" w14:paraId="60461640" w14:textId="77777777">
        <w:trPr>
          <w:jc w:val="center"/>
        </w:trPr>
        <w:tc>
          <w:tcPr>
            <w:tcW w:w="3312" w:type="dxa"/>
          </w:tcPr>
          <w:p w14:paraId="6ED56725" w14:textId="77777777" w:rsidR="00137501" w:rsidRDefault="00000000">
            <w:r>
              <w:t>EEM</w:t>
            </w:r>
          </w:p>
        </w:tc>
        <w:tc>
          <w:tcPr>
            <w:tcW w:w="3312" w:type="dxa"/>
          </w:tcPr>
          <w:p w14:paraId="0BE2DD52" w14:textId="77777777" w:rsidR="00137501" w:rsidRDefault="00000000">
            <w:r>
              <w:t>Marchés émergents</w:t>
            </w:r>
          </w:p>
        </w:tc>
        <w:tc>
          <w:tcPr>
            <w:tcW w:w="3312" w:type="dxa"/>
          </w:tcPr>
          <w:p w14:paraId="19515567" w14:textId="77777777" w:rsidR="00137501" w:rsidRDefault="00000000">
            <w:r>
              <w:t>0,94 %</w:t>
            </w:r>
          </w:p>
        </w:tc>
      </w:tr>
      <w:tr w:rsidR="00137501" w14:paraId="241CBD10" w14:textId="77777777">
        <w:trPr>
          <w:jc w:val="center"/>
        </w:trPr>
        <w:tc>
          <w:tcPr>
            <w:tcW w:w="3312" w:type="dxa"/>
            <w:shd w:val="clear" w:color="auto" w:fill="F1F5F9"/>
          </w:tcPr>
          <w:p w14:paraId="7BD07A2D" w14:textId="77777777" w:rsidR="00137501" w:rsidRDefault="00000000">
            <w:r>
              <w:t>BTC-USD</w:t>
            </w:r>
          </w:p>
        </w:tc>
        <w:tc>
          <w:tcPr>
            <w:tcW w:w="3312" w:type="dxa"/>
            <w:shd w:val="clear" w:color="auto" w:fill="F1F5F9"/>
          </w:tcPr>
          <w:p w14:paraId="07EC03E4" w14:textId="77777777" w:rsidR="00137501" w:rsidRDefault="00000000">
            <w:r>
              <w:t>Bitcoin (Crypto-actif)</w:t>
            </w:r>
          </w:p>
        </w:tc>
        <w:tc>
          <w:tcPr>
            <w:tcW w:w="3312" w:type="dxa"/>
            <w:shd w:val="clear" w:color="auto" w:fill="F1F5F9"/>
          </w:tcPr>
          <w:p w14:paraId="045DF8C1" w14:textId="77777777" w:rsidR="00137501" w:rsidRDefault="00000000">
            <w:r>
              <w:t>0,78 %</w:t>
            </w:r>
          </w:p>
        </w:tc>
      </w:tr>
    </w:tbl>
    <w:p w14:paraId="7D8DC415" w14:textId="77777777" w:rsidR="00137501" w:rsidRDefault="00000000">
      <w:pPr>
        <w:spacing w:before="240" w:after="80"/>
      </w:pPr>
      <w:r>
        <w:rPr>
          <w:rFonts w:ascii="Calibri" w:hAnsi="Calibri"/>
          <w:b/>
          <w:color w:val="0F172A"/>
          <w:sz w:val="24"/>
        </w:rPr>
        <w:t>Analyse des Résultats :</w:t>
      </w:r>
    </w:p>
    <w:p w14:paraId="42A85F73" w14:textId="77777777" w:rsidR="00137501" w:rsidRPr="00517E4D" w:rsidRDefault="00000000">
      <w:pPr>
        <w:pStyle w:val="ListBullet"/>
        <w:rPr>
          <w:lang w:val="fr-FR"/>
        </w:rPr>
      </w:pPr>
      <w:r w:rsidRPr="00517E4D">
        <w:rPr>
          <w:b/>
          <w:lang w:val="fr-FR"/>
        </w:rPr>
        <w:t xml:space="preserve">Niveau d'Efficience Très Élevé : </w:t>
      </w:r>
      <w:r w:rsidRPr="00517E4D">
        <w:rPr>
          <w:lang w:val="fr-FR"/>
        </w:rPr>
        <w:t>Le portefeuille atteint un rendement espéré de 17,53 % pour une volatilité globale contenue à 9,04 %, générant un excellent Ratio de Sharpe de 1,66.</w:t>
      </w:r>
    </w:p>
    <w:p w14:paraId="5062A85A" w14:textId="77777777" w:rsidR="00137501" w:rsidRPr="00517E4D" w:rsidRDefault="00000000">
      <w:pPr>
        <w:pStyle w:val="ListBullet"/>
        <w:rPr>
          <w:lang w:val="fr-FR"/>
        </w:rPr>
      </w:pPr>
      <w:r w:rsidRPr="00517E4D">
        <w:rPr>
          <w:b/>
          <w:lang w:val="fr-FR"/>
        </w:rPr>
        <w:t xml:space="preserve">Domination des Actifs Anti-Inflation et Réels : </w:t>
      </w:r>
      <w:r w:rsidRPr="00517E4D">
        <w:rPr>
          <w:lang w:val="fr-FR"/>
        </w:rPr>
        <w:t>Les matières premières agricoles (DBA : 26,60 %) et l'Or (GLD : 23,79 %) représentent à eux deux plus de 50 % de l'allocation, apportant une décorrélation puissante par rapport aux actions traditionnelles.</w:t>
      </w:r>
    </w:p>
    <w:p w14:paraId="73E15BE9" w14:textId="77777777" w:rsidR="00137501" w:rsidRPr="00517E4D" w:rsidRDefault="00000000">
      <w:pPr>
        <w:pStyle w:val="ListBullet"/>
        <w:rPr>
          <w:lang w:val="fr-FR"/>
        </w:rPr>
      </w:pPr>
      <w:r w:rsidRPr="00517E4D">
        <w:rPr>
          <w:b/>
          <w:lang w:val="fr-FR"/>
        </w:rPr>
        <w:t xml:space="preserve">Piliers Défensifs et Énergie : </w:t>
      </w:r>
      <w:r w:rsidRPr="00517E4D">
        <w:rPr>
          <w:lang w:val="fr-FR"/>
        </w:rPr>
        <w:t xml:space="preserve">La présence de Coca-Cola (14,61 %), </w:t>
      </w:r>
      <w:proofErr w:type="spellStart"/>
      <w:r w:rsidRPr="00517E4D">
        <w:rPr>
          <w:lang w:val="fr-FR"/>
        </w:rPr>
        <w:t>TotalEnergies</w:t>
      </w:r>
      <w:proofErr w:type="spellEnd"/>
      <w:r w:rsidRPr="00517E4D">
        <w:rPr>
          <w:lang w:val="fr-FR"/>
        </w:rPr>
        <w:t xml:space="preserve"> (13,03 %) et Johnson &amp; Johnson (11,10 %) stabilise le portefeuille tout en assurant un apport régulier de rendement.</w:t>
      </w:r>
    </w:p>
    <w:p w14:paraId="278FE3F8" w14:textId="77777777" w:rsidR="00137501" w:rsidRPr="00517E4D" w:rsidRDefault="00000000">
      <w:pPr>
        <w:pStyle w:val="ListBullet"/>
        <w:rPr>
          <w:lang w:val="fr-FR"/>
        </w:rPr>
      </w:pPr>
      <w:r w:rsidRPr="00517E4D">
        <w:rPr>
          <w:b/>
          <w:lang w:val="fr-FR"/>
        </w:rPr>
        <w:t xml:space="preserve">Exposition Contrôlée aux Actifs Volatils : </w:t>
      </w:r>
      <w:r w:rsidRPr="00517E4D">
        <w:rPr>
          <w:lang w:val="fr-FR"/>
        </w:rPr>
        <w:t>L'algorithme limite volontairement les poids du Bitcoin (0,78 %) et d'Apple (5,71 %) afin de capter leur potentiel de croissance sans dégrader la volatilité globale.</w:t>
      </w:r>
    </w:p>
    <w:p w14:paraId="56297157" w14:textId="77777777" w:rsidR="00137501" w:rsidRDefault="00000000">
      <w:pPr>
        <w:spacing w:before="320" w:after="120"/>
      </w:pPr>
      <w:r>
        <w:rPr>
          <w:rFonts w:ascii="Calibri" w:hAnsi="Calibri"/>
          <w:b/>
          <w:color w:val="1E3A8A"/>
          <w:sz w:val="28"/>
        </w:rPr>
        <w:t>4. Sources</w:t>
      </w:r>
    </w:p>
    <w:p w14:paraId="0EEE050E" w14:textId="77777777" w:rsidR="00137501" w:rsidRPr="00517E4D" w:rsidRDefault="00000000">
      <w:pPr>
        <w:pStyle w:val="ListBullet"/>
        <w:rPr>
          <w:lang w:val="fr-FR"/>
        </w:rPr>
      </w:pPr>
      <w:r w:rsidRPr="00517E4D">
        <w:rPr>
          <w:b/>
          <w:lang w:val="fr-FR"/>
        </w:rPr>
        <w:t xml:space="preserve">Yahoo Finance : </w:t>
      </w:r>
      <w:r w:rsidRPr="00517E4D">
        <w:rPr>
          <w:lang w:val="fr-FR"/>
        </w:rPr>
        <w:t>Données de cours boursiers historiques et prix ajustés.</w:t>
      </w:r>
    </w:p>
    <w:p w14:paraId="5C449385" w14:textId="77777777" w:rsidR="00137501" w:rsidRPr="00517E4D" w:rsidRDefault="00000000">
      <w:pPr>
        <w:pStyle w:val="ListBullet"/>
        <w:rPr>
          <w:lang w:val="fr-FR"/>
        </w:rPr>
      </w:pPr>
      <w:proofErr w:type="spellStart"/>
      <w:proofErr w:type="gramStart"/>
      <w:r w:rsidRPr="00517E4D">
        <w:rPr>
          <w:b/>
          <w:lang w:val="fr-FR"/>
        </w:rPr>
        <w:t>edu</w:t>
      </w:r>
      <w:proofErr w:type="spellEnd"/>
      <w:proofErr w:type="gramEnd"/>
      <w:r w:rsidRPr="00517E4D">
        <w:rPr>
          <w:b/>
          <w:lang w:val="fr-FR"/>
        </w:rPr>
        <w:t xml:space="preserve"> </w:t>
      </w:r>
      <w:proofErr w:type="spellStart"/>
      <w:r w:rsidRPr="00517E4D">
        <w:rPr>
          <w:b/>
          <w:lang w:val="fr-FR"/>
        </w:rPr>
        <w:t>economy</w:t>
      </w:r>
      <w:proofErr w:type="spellEnd"/>
      <w:r w:rsidRPr="00517E4D">
        <w:rPr>
          <w:b/>
          <w:lang w:val="fr-FR"/>
        </w:rPr>
        <w:t xml:space="preserve"> : </w:t>
      </w:r>
      <w:r w:rsidRPr="00517E4D">
        <w:rPr>
          <w:lang w:val="fr-FR"/>
        </w:rPr>
        <w:t>Principes théoriques et méthodologie du modèle de Markowitz.</w:t>
      </w:r>
    </w:p>
    <w:sectPr w:rsidR="00137501" w:rsidRPr="00517E4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626897">
    <w:abstractNumId w:val="8"/>
  </w:num>
  <w:num w:numId="2" w16cid:durableId="532813873">
    <w:abstractNumId w:val="6"/>
  </w:num>
  <w:num w:numId="3" w16cid:durableId="353460857">
    <w:abstractNumId w:val="5"/>
  </w:num>
  <w:num w:numId="4" w16cid:durableId="255015767">
    <w:abstractNumId w:val="4"/>
  </w:num>
  <w:num w:numId="5" w16cid:durableId="146215938">
    <w:abstractNumId w:val="7"/>
  </w:num>
  <w:num w:numId="6" w16cid:durableId="2023244091">
    <w:abstractNumId w:val="3"/>
  </w:num>
  <w:num w:numId="7" w16cid:durableId="1301616158">
    <w:abstractNumId w:val="2"/>
  </w:num>
  <w:num w:numId="8" w16cid:durableId="187135750">
    <w:abstractNumId w:val="1"/>
  </w:num>
  <w:num w:numId="9" w16cid:durableId="847645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5BD"/>
    <w:rsid w:val="0006063C"/>
    <w:rsid w:val="00137501"/>
    <w:rsid w:val="0015074B"/>
    <w:rsid w:val="0029639D"/>
    <w:rsid w:val="00326F90"/>
    <w:rsid w:val="00441FA8"/>
    <w:rsid w:val="00517E4D"/>
    <w:rsid w:val="007F13DD"/>
    <w:rsid w:val="00980457"/>
    <w:rsid w:val="00AA1D8D"/>
    <w:rsid w:val="00B47730"/>
    <w:rsid w:val="00B70B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ED69D"/>
  <w14:defaultImageDpi w14:val="300"/>
  <w15:docId w15:val="{64A332F1-C59B-854F-8F2A-91E8D0310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Liefooghe</cp:lastModifiedBy>
  <cp:revision>2</cp:revision>
  <dcterms:created xsi:type="dcterms:W3CDTF">2026-08-24T19:03:00Z</dcterms:created>
  <dcterms:modified xsi:type="dcterms:W3CDTF">2026-08-24T19:03:00Z</dcterms:modified>
  <cp:category/>
</cp:coreProperties>
</file>