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8E824" w14:textId="77777777" w:rsidR="00A87814" w:rsidRDefault="00A87814" w:rsidP="00346D7D">
      <w:pPr>
        <w:spacing w:line="480" w:lineRule="auto"/>
        <w:jc w:val="center"/>
        <w:rPr>
          <w:rFonts w:ascii="Times New Roman" w:hAnsi="Times New Roman" w:cs="Times New Roman"/>
          <w:b/>
          <w:bCs/>
        </w:rPr>
      </w:pPr>
    </w:p>
    <w:p w14:paraId="1C8AA23E" w14:textId="77777777" w:rsidR="00A87814" w:rsidRDefault="00A87814" w:rsidP="00346D7D">
      <w:pPr>
        <w:spacing w:line="480" w:lineRule="auto"/>
        <w:jc w:val="center"/>
        <w:rPr>
          <w:rFonts w:ascii="Times New Roman" w:hAnsi="Times New Roman" w:cs="Times New Roman"/>
          <w:b/>
          <w:bCs/>
        </w:rPr>
      </w:pPr>
    </w:p>
    <w:p w14:paraId="7BA78B4A" w14:textId="77777777" w:rsidR="00A87814" w:rsidRDefault="00A87814" w:rsidP="00346D7D">
      <w:pPr>
        <w:spacing w:line="480" w:lineRule="auto"/>
        <w:jc w:val="center"/>
        <w:rPr>
          <w:rFonts w:ascii="Times New Roman" w:hAnsi="Times New Roman" w:cs="Times New Roman"/>
          <w:b/>
          <w:bCs/>
        </w:rPr>
      </w:pPr>
    </w:p>
    <w:p w14:paraId="115DE73D" w14:textId="77777777" w:rsidR="00A87814" w:rsidRPr="00A87814" w:rsidRDefault="00A87814" w:rsidP="00A87814">
      <w:pPr>
        <w:spacing w:line="480" w:lineRule="auto"/>
        <w:jc w:val="center"/>
        <w:rPr>
          <w:rFonts w:ascii="Times New Roman" w:hAnsi="Times New Roman" w:cs="Times New Roman"/>
          <w:b/>
          <w:bCs/>
        </w:rPr>
      </w:pPr>
      <w:proofErr w:type="spellStart"/>
      <w:r w:rsidRPr="00A87814">
        <w:rPr>
          <w:rFonts w:ascii="Times New Roman" w:hAnsi="Times New Roman" w:cs="Times New Roman"/>
          <w:b/>
          <w:bCs/>
        </w:rPr>
        <w:t>Organisational</w:t>
      </w:r>
      <w:proofErr w:type="spellEnd"/>
      <w:r w:rsidRPr="00A87814">
        <w:rPr>
          <w:rFonts w:ascii="Times New Roman" w:hAnsi="Times New Roman" w:cs="Times New Roman"/>
          <w:b/>
          <w:bCs/>
        </w:rPr>
        <w:t xml:space="preserve"> </w:t>
      </w:r>
      <w:proofErr w:type="spellStart"/>
      <w:r w:rsidRPr="00A87814">
        <w:rPr>
          <w:rFonts w:ascii="Times New Roman" w:hAnsi="Times New Roman" w:cs="Times New Roman"/>
          <w:b/>
          <w:bCs/>
        </w:rPr>
        <w:t>Behaviour</w:t>
      </w:r>
      <w:proofErr w:type="spellEnd"/>
      <w:r w:rsidRPr="00A87814">
        <w:rPr>
          <w:rFonts w:ascii="Times New Roman" w:hAnsi="Times New Roman" w:cs="Times New Roman"/>
          <w:b/>
          <w:bCs/>
        </w:rPr>
        <w:t xml:space="preserve"> Analysis of AstraZeneca</w:t>
      </w:r>
    </w:p>
    <w:p w14:paraId="0AE5A663" w14:textId="77777777" w:rsidR="00A87814" w:rsidRPr="00A87814" w:rsidRDefault="00A87814" w:rsidP="00A87814">
      <w:pPr>
        <w:spacing w:line="720" w:lineRule="auto"/>
        <w:jc w:val="center"/>
        <w:rPr>
          <w:rFonts w:ascii="Times New Roman" w:hAnsi="Times New Roman" w:cs="Times New Roman"/>
          <w:b/>
          <w:bCs/>
        </w:rPr>
      </w:pPr>
    </w:p>
    <w:p w14:paraId="1DB81D9C" w14:textId="77777777" w:rsidR="00A87814" w:rsidRPr="00A87814" w:rsidRDefault="00A87814" w:rsidP="00A87814">
      <w:pPr>
        <w:spacing w:line="720" w:lineRule="auto"/>
        <w:jc w:val="center"/>
        <w:rPr>
          <w:rFonts w:ascii="Times New Roman" w:hAnsi="Times New Roman" w:cs="Times New Roman"/>
          <w:b/>
          <w:bCs/>
        </w:rPr>
      </w:pPr>
    </w:p>
    <w:p w14:paraId="3A68414E" w14:textId="665C73C9" w:rsidR="00A87814" w:rsidRPr="00A87814" w:rsidRDefault="00A87814" w:rsidP="00A87814">
      <w:pPr>
        <w:spacing w:after="0" w:line="720" w:lineRule="auto"/>
        <w:contextualSpacing/>
        <w:jc w:val="center"/>
        <w:outlineLvl w:val="0"/>
        <w:rPr>
          <w:rFonts w:ascii="Times New Roman" w:hAnsi="Times New Roman" w:cs="Times New Roman"/>
          <w:kern w:val="36"/>
        </w:rPr>
      </w:pPr>
      <w:bookmarkStart w:id="0" w:name="_Toc215589235"/>
      <w:bookmarkStart w:id="1" w:name="_Toc215598695"/>
      <w:r w:rsidRPr="00A87814">
        <w:rPr>
          <w:rFonts w:ascii="Times New Roman" w:hAnsi="Times New Roman" w:cs="Times New Roman"/>
          <w:kern w:val="36"/>
        </w:rPr>
        <w:t>Student's name</w:t>
      </w:r>
      <w:bookmarkEnd w:id="0"/>
      <w:bookmarkEnd w:id="1"/>
      <w:r w:rsidRPr="00A87814">
        <w:rPr>
          <w:rFonts w:ascii="Times New Roman" w:hAnsi="Times New Roman" w:cs="Times New Roman"/>
          <w:kern w:val="36"/>
        </w:rPr>
        <w:t xml:space="preserve"> </w:t>
      </w:r>
    </w:p>
    <w:p w14:paraId="4C9E174A" w14:textId="77777777" w:rsidR="00A87814" w:rsidRPr="00A87814" w:rsidRDefault="00A87814" w:rsidP="00A87814">
      <w:pPr>
        <w:spacing w:after="0" w:line="720" w:lineRule="auto"/>
        <w:contextualSpacing/>
        <w:jc w:val="center"/>
        <w:outlineLvl w:val="0"/>
        <w:rPr>
          <w:rFonts w:ascii="Times New Roman" w:hAnsi="Times New Roman" w:cs="Times New Roman"/>
          <w:kern w:val="36"/>
        </w:rPr>
      </w:pPr>
      <w:bookmarkStart w:id="2" w:name="_Toc215589236"/>
      <w:bookmarkStart w:id="3" w:name="_Toc215598696"/>
      <w:r w:rsidRPr="00A87814">
        <w:rPr>
          <w:rFonts w:ascii="Times New Roman" w:hAnsi="Times New Roman" w:cs="Times New Roman"/>
          <w:kern w:val="36"/>
        </w:rPr>
        <w:t>Course name</w:t>
      </w:r>
      <w:bookmarkEnd w:id="2"/>
      <w:bookmarkEnd w:id="3"/>
    </w:p>
    <w:p w14:paraId="67F0566F" w14:textId="77777777" w:rsidR="00A87814" w:rsidRPr="00A87814" w:rsidRDefault="00A87814" w:rsidP="00A87814">
      <w:pPr>
        <w:spacing w:after="0" w:line="720" w:lineRule="auto"/>
        <w:contextualSpacing/>
        <w:jc w:val="center"/>
        <w:outlineLvl w:val="0"/>
        <w:rPr>
          <w:rFonts w:ascii="Times New Roman" w:hAnsi="Times New Roman" w:cs="Times New Roman"/>
          <w:kern w:val="36"/>
        </w:rPr>
      </w:pPr>
      <w:bookmarkStart w:id="4" w:name="_Toc215589237"/>
      <w:bookmarkStart w:id="5" w:name="_Toc215598697"/>
      <w:r w:rsidRPr="00A87814">
        <w:rPr>
          <w:rFonts w:ascii="Times New Roman" w:hAnsi="Times New Roman" w:cs="Times New Roman"/>
          <w:kern w:val="36"/>
        </w:rPr>
        <w:t>Professor's name</w:t>
      </w:r>
      <w:bookmarkEnd w:id="4"/>
      <w:bookmarkEnd w:id="5"/>
    </w:p>
    <w:p w14:paraId="0A30D764" w14:textId="77777777" w:rsidR="00A87814" w:rsidRPr="00A87814" w:rsidRDefault="00A87814" w:rsidP="00A87814">
      <w:pPr>
        <w:spacing w:after="0" w:line="720" w:lineRule="auto"/>
        <w:contextualSpacing/>
        <w:jc w:val="center"/>
        <w:outlineLvl w:val="0"/>
        <w:rPr>
          <w:rFonts w:ascii="Times New Roman" w:hAnsi="Times New Roman" w:cs="Times New Roman"/>
          <w:kern w:val="36"/>
        </w:rPr>
      </w:pPr>
      <w:bookmarkStart w:id="6" w:name="_Toc215589238"/>
      <w:bookmarkStart w:id="7" w:name="_Toc215598698"/>
      <w:r w:rsidRPr="00A87814">
        <w:rPr>
          <w:rFonts w:ascii="Times New Roman" w:hAnsi="Times New Roman" w:cs="Times New Roman"/>
          <w:kern w:val="36"/>
        </w:rPr>
        <w:t>Institution</w:t>
      </w:r>
      <w:bookmarkEnd w:id="6"/>
      <w:bookmarkEnd w:id="7"/>
    </w:p>
    <w:p w14:paraId="0EC3BC7F" w14:textId="77777777" w:rsidR="00A87814" w:rsidRPr="00A87814" w:rsidRDefault="00A87814" w:rsidP="00A87814">
      <w:pPr>
        <w:spacing w:after="0" w:line="720" w:lineRule="auto"/>
        <w:contextualSpacing/>
        <w:jc w:val="center"/>
        <w:outlineLvl w:val="0"/>
        <w:rPr>
          <w:rFonts w:ascii="Times New Roman" w:hAnsi="Times New Roman" w:cs="Times New Roman"/>
          <w:kern w:val="36"/>
        </w:rPr>
      </w:pPr>
      <w:bookmarkStart w:id="8" w:name="_Toc215589239"/>
      <w:bookmarkStart w:id="9" w:name="_Toc215598699"/>
      <w:r w:rsidRPr="00A87814">
        <w:rPr>
          <w:rFonts w:ascii="Times New Roman" w:hAnsi="Times New Roman" w:cs="Times New Roman"/>
          <w:kern w:val="36"/>
        </w:rPr>
        <w:t>Date</w:t>
      </w:r>
      <w:bookmarkEnd w:id="8"/>
      <w:bookmarkEnd w:id="9"/>
    </w:p>
    <w:p w14:paraId="7D606695" w14:textId="77777777" w:rsidR="00A87814" w:rsidRDefault="00A87814" w:rsidP="00A87814">
      <w:pPr>
        <w:spacing w:line="720" w:lineRule="auto"/>
        <w:jc w:val="center"/>
        <w:rPr>
          <w:rFonts w:ascii="Times New Roman" w:hAnsi="Times New Roman" w:cs="Times New Roman"/>
          <w:b/>
          <w:bCs/>
        </w:rPr>
      </w:pPr>
    </w:p>
    <w:p w14:paraId="6B7667D9" w14:textId="77777777" w:rsidR="00A87814" w:rsidRDefault="00A87814" w:rsidP="00A87814">
      <w:pPr>
        <w:spacing w:line="720" w:lineRule="auto"/>
        <w:jc w:val="center"/>
        <w:rPr>
          <w:rFonts w:ascii="Times New Roman" w:hAnsi="Times New Roman" w:cs="Times New Roman"/>
          <w:b/>
          <w:bCs/>
        </w:rPr>
      </w:pPr>
    </w:p>
    <w:p w14:paraId="5C9FBA50" w14:textId="77777777" w:rsidR="00A87814" w:rsidRDefault="00A87814" w:rsidP="00A87814">
      <w:pPr>
        <w:spacing w:line="720" w:lineRule="auto"/>
        <w:jc w:val="center"/>
        <w:rPr>
          <w:rFonts w:ascii="Times New Roman" w:hAnsi="Times New Roman" w:cs="Times New Roman"/>
          <w:b/>
          <w:bCs/>
        </w:rPr>
      </w:pPr>
    </w:p>
    <w:p w14:paraId="6BF7F730" w14:textId="77777777" w:rsidR="00A87814" w:rsidRDefault="00A87814" w:rsidP="00346D7D">
      <w:pPr>
        <w:spacing w:line="480" w:lineRule="auto"/>
        <w:jc w:val="center"/>
        <w:rPr>
          <w:rFonts w:ascii="Times New Roman" w:hAnsi="Times New Roman" w:cs="Times New Roman"/>
          <w:b/>
          <w:bCs/>
        </w:rPr>
      </w:pPr>
    </w:p>
    <w:p w14:paraId="1A4B430C" w14:textId="77777777" w:rsidR="00A87814" w:rsidRDefault="00A87814" w:rsidP="00346D7D">
      <w:pPr>
        <w:spacing w:line="480" w:lineRule="auto"/>
        <w:jc w:val="center"/>
        <w:rPr>
          <w:rFonts w:ascii="Times New Roman" w:hAnsi="Times New Roman" w:cs="Times New Roman"/>
          <w:b/>
          <w:bCs/>
        </w:rPr>
      </w:pPr>
    </w:p>
    <w:p w14:paraId="3525722F" w14:textId="22D2D963" w:rsidR="00E447B8" w:rsidRPr="00346D7D" w:rsidRDefault="00F01E32" w:rsidP="00346D7D">
      <w:pPr>
        <w:spacing w:line="480" w:lineRule="auto"/>
        <w:jc w:val="center"/>
        <w:rPr>
          <w:rFonts w:ascii="Times New Roman" w:hAnsi="Times New Roman" w:cs="Times New Roman"/>
          <w:b/>
          <w:bCs/>
        </w:rPr>
      </w:pPr>
      <w:proofErr w:type="spellStart"/>
      <w:r w:rsidRPr="00346D7D">
        <w:rPr>
          <w:rFonts w:ascii="Times New Roman" w:hAnsi="Times New Roman" w:cs="Times New Roman"/>
          <w:b/>
          <w:bCs/>
        </w:rPr>
        <w:lastRenderedPageBreak/>
        <w:t>Organisational</w:t>
      </w:r>
      <w:proofErr w:type="spellEnd"/>
      <w:r w:rsidRPr="00346D7D">
        <w:rPr>
          <w:rFonts w:ascii="Times New Roman" w:hAnsi="Times New Roman" w:cs="Times New Roman"/>
          <w:b/>
          <w:bCs/>
        </w:rPr>
        <w:t xml:space="preserve"> </w:t>
      </w:r>
      <w:proofErr w:type="spellStart"/>
      <w:r w:rsidRPr="00346D7D">
        <w:rPr>
          <w:rFonts w:ascii="Times New Roman" w:hAnsi="Times New Roman" w:cs="Times New Roman"/>
          <w:b/>
          <w:bCs/>
        </w:rPr>
        <w:t>Behaviour</w:t>
      </w:r>
      <w:proofErr w:type="spellEnd"/>
      <w:r w:rsidRPr="00346D7D">
        <w:rPr>
          <w:rFonts w:ascii="Times New Roman" w:hAnsi="Times New Roman" w:cs="Times New Roman"/>
          <w:b/>
          <w:bCs/>
        </w:rPr>
        <w:t xml:space="preserve"> Analysis of AstraZeneca</w:t>
      </w:r>
    </w:p>
    <w:p w14:paraId="6C51F73D" w14:textId="2D1D4471" w:rsidR="00844544" w:rsidRPr="00844544" w:rsidRDefault="00844544" w:rsidP="00346D7D">
      <w:pPr>
        <w:spacing w:line="480" w:lineRule="auto"/>
        <w:rPr>
          <w:rFonts w:ascii="Times New Roman" w:hAnsi="Times New Roman" w:cs="Times New Roman"/>
          <w:b/>
          <w:bCs/>
        </w:rPr>
      </w:pPr>
      <w:r w:rsidRPr="00844544">
        <w:rPr>
          <w:rFonts w:ascii="Times New Roman" w:hAnsi="Times New Roman" w:cs="Times New Roman"/>
          <w:b/>
          <w:bCs/>
        </w:rPr>
        <w:t>Executive Summary</w:t>
      </w:r>
    </w:p>
    <w:p w14:paraId="743EDFFB" w14:textId="0FC2BBCD" w:rsidR="00E85D44" w:rsidRPr="002D1F54" w:rsidRDefault="000B01EB" w:rsidP="00346D7D">
      <w:pPr>
        <w:spacing w:line="480" w:lineRule="auto"/>
        <w:ind w:firstLine="720"/>
        <w:rPr>
          <w:rFonts w:ascii="Times New Roman" w:hAnsi="Times New Roman" w:cs="Times New Roman"/>
        </w:rPr>
      </w:pPr>
      <w:r w:rsidRPr="000B01EB">
        <w:rPr>
          <w:rFonts w:ascii="Times New Roman" w:hAnsi="Times New Roman" w:cs="Times New Roman"/>
        </w:rPr>
        <w:t xml:space="preserve">The report is an </w:t>
      </w:r>
      <w:proofErr w:type="spellStart"/>
      <w:r w:rsidRPr="000B01EB">
        <w:rPr>
          <w:rFonts w:ascii="Times New Roman" w:hAnsi="Times New Roman" w:cs="Times New Roman"/>
        </w:rPr>
        <w:t>organisational</w:t>
      </w:r>
      <w:proofErr w:type="spellEnd"/>
      <w:r w:rsidRPr="000B01EB">
        <w:rPr>
          <w:rFonts w:ascii="Times New Roman" w:hAnsi="Times New Roman" w:cs="Times New Roman"/>
        </w:rPr>
        <w:t xml:space="preserve"> </w:t>
      </w:r>
      <w:proofErr w:type="spellStart"/>
      <w:r w:rsidRPr="000B01EB">
        <w:rPr>
          <w:rFonts w:ascii="Times New Roman" w:hAnsi="Times New Roman" w:cs="Times New Roman"/>
        </w:rPr>
        <w:t>behaviour</w:t>
      </w:r>
      <w:proofErr w:type="spellEnd"/>
      <w:r w:rsidRPr="000B01EB">
        <w:rPr>
          <w:rFonts w:ascii="Times New Roman" w:hAnsi="Times New Roman" w:cs="Times New Roman"/>
        </w:rPr>
        <w:t xml:space="preserve"> (OB) study about AstraZeneca, which is a large biopharmaceutical multinational company that has a remarkable reputation in terms of innovation, scientific leadership, and international presence. The principal dimensions of OB that this paper will critically review are leadership, </w:t>
      </w:r>
      <w:proofErr w:type="spellStart"/>
      <w:r w:rsidRPr="000B01EB">
        <w:rPr>
          <w:rFonts w:ascii="Times New Roman" w:hAnsi="Times New Roman" w:cs="Times New Roman"/>
        </w:rPr>
        <w:t>organisational</w:t>
      </w:r>
      <w:proofErr w:type="spellEnd"/>
      <w:r w:rsidRPr="000B01EB">
        <w:rPr>
          <w:rFonts w:ascii="Times New Roman" w:hAnsi="Times New Roman" w:cs="Times New Roman"/>
        </w:rPr>
        <w:t xml:space="preserve"> structure, culture, employee development, equity and diversity (EDI), and </w:t>
      </w:r>
      <w:proofErr w:type="spellStart"/>
      <w:r w:rsidRPr="000B01EB">
        <w:rPr>
          <w:rFonts w:ascii="Times New Roman" w:hAnsi="Times New Roman" w:cs="Times New Roman"/>
        </w:rPr>
        <w:t>organisational</w:t>
      </w:r>
      <w:proofErr w:type="spellEnd"/>
      <w:r w:rsidRPr="000B01EB">
        <w:rPr>
          <w:rFonts w:ascii="Times New Roman" w:hAnsi="Times New Roman" w:cs="Times New Roman"/>
        </w:rPr>
        <w:t xml:space="preserve"> change. </w:t>
      </w:r>
      <w:r w:rsidR="00E85D44" w:rsidRPr="002D1F54">
        <w:rPr>
          <w:rFonts w:ascii="Times New Roman" w:hAnsi="Times New Roman" w:cs="Times New Roman"/>
        </w:rPr>
        <w:t xml:space="preserve">Based on the foundational concepts of the overall field of the business, including the theories of Herzberg and Vroom, Schein and Kotter, the report assesses how AstraZeneca approached the management of human </w:t>
      </w:r>
      <w:proofErr w:type="spellStart"/>
      <w:r w:rsidR="00E85D44" w:rsidRPr="002D1F54">
        <w:rPr>
          <w:rFonts w:ascii="Times New Roman" w:hAnsi="Times New Roman" w:cs="Times New Roman"/>
        </w:rPr>
        <w:t>behaviour</w:t>
      </w:r>
      <w:proofErr w:type="spellEnd"/>
      <w:r w:rsidR="00E85D44" w:rsidRPr="002D1F54">
        <w:rPr>
          <w:rFonts w:ascii="Times New Roman" w:hAnsi="Times New Roman" w:cs="Times New Roman"/>
        </w:rPr>
        <w:t xml:space="preserve"> as a strategic approach to performance, collaboration, and innovation. The results indicate that the AstraZeneca matrix structure facilitates agility and needs effective communication, a transformational culture of leadership contributes to high engagement, and inclusion and global competitiveness are enhanced by a sustained culture of EDI. Effective change management is based on cultural alignment and lifelong learning. The report proposes evidence-based recommendations such as strengthening cross-functional leadership, scaling inclusive leadership development, and increasing change preparedness among regional teams. The alignment between the visitation strategy of AstraZeneca and strategy reinforcements the </w:t>
      </w:r>
      <w:proofErr w:type="spellStart"/>
      <w:r w:rsidR="00E85D44" w:rsidRPr="002D1F54">
        <w:rPr>
          <w:rFonts w:ascii="Times New Roman" w:hAnsi="Times New Roman" w:cs="Times New Roman"/>
        </w:rPr>
        <w:t>organisation</w:t>
      </w:r>
      <w:proofErr w:type="spellEnd"/>
      <w:r w:rsidR="00E85D44" w:rsidRPr="002D1F54">
        <w:rPr>
          <w:rFonts w:ascii="Times New Roman" w:hAnsi="Times New Roman" w:cs="Times New Roman"/>
        </w:rPr>
        <w:t xml:space="preserve"> as a high-performing, people-orientated </w:t>
      </w:r>
      <w:proofErr w:type="spellStart"/>
      <w:r w:rsidR="00E85D44" w:rsidRPr="002D1F54">
        <w:rPr>
          <w:rFonts w:ascii="Times New Roman" w:hAnsi="Times New Roman" w:cs="Times New Roman"/>
        </w:rPr>
        <w:t>organisation</w:t>
      </w:r>
      <w:proofErr w:type="spellEnd"/>
      <w:r w:rsidR="00E85D44" w:rsidRPr="002D1F54">
        <w:rPr>
          <w:rFonts w:ascii="Times New Roman" w:hAnsi="Times New Roman" w:cs="Times New Roman"/>
        </w:rPr>
        <w:t>.</w:t>
      </w:r>
    </w:p>
    <w:p w14:paraId="2B239466" w14:textId="77777777" w:rsidR="00E85D44" w:rsidRPr="002D1F54" w:rsidRDefault="00E85D44" w:rsidP="00346D7D">
      <w:pPr>
        <w:spacing w:line="480" w:lineRule="auto"/>
        <w:rPr>
          <w:rFonts w:ascii="Times New Roman" w:hAnsi="Times New Roman" w:cs="Times New Roman"/>
          <w:b/>
          <w:bCs/>
        </w:rPr>
      </w:pPr>
      <w:r w:rsidRPr="002D1F54">
        <w:rPr>
          <w:rFonts w:ascii="Times New Roman" w:hAnsi="Times New Roman" w:cs="Times New Roman"/>
          <w:b/>
          <w:bCs/>
        </w:rPr>
        <w:t xml:space="preserve">Introduction </w:t>
      </w:r>
    </w:p>
    <w:p w14:paraId="39475819" w14:textId="5EAEB085" w:rsidR="00844544" w:rsidRPr="00346D7D" w:rsidRDefault="00E85D44" w:rsidP="00346D7D">
      <w:pPr>
        <w:spacing w:line="480" w:lineRule="auto"/>
        <w:ind w:firstLine="720"/>
        <w:rPr>
          <w:rFonts w:ascii="Times New Roman" w:hAnsi="Times New Roman" w:cs="Times New Roman"/>
        </w:rPr>
      </w:pPr>
      <w:r w:rsidRPr="002D1F54">
        <w:rPr>
          <w:rFonts w:ascii="Times New Roman" w:hAnsi="Times New Roman" w:cs="Times New Roman"/>
        </w:rPr>
        <w:t xml:space="preserve">This report uses the </w:t>
      </w:r>
      <w:proofErr w:type="spellStart"/>
      <w:r w:rsidRPr="002D1F54">
        <w:rPr>
          <w:rFonts w:ascii="Times New Roman" w:hAnsi="Times New Roman" w:cs="Times New Roman"/>
        </w:rPr>
        <w:t>organisational</w:t>
      </w:r>
      <w:proofErr w:type="spellEnd"/>
      <w:r w:rsidRPr="002D1F54">
        <w:rPr>
          <w:rFonts w:ascii="Times New Roman" w:hAnsi="Times New Roman" w:cs="Times New Roman"/>
        </w:rPr>
        <w:t xml:space="preserve"> </w:t>
      </w:r>
      <w:proofErr w:type="spellStart"/>
      <w:r w:rsidRPr="002D1F54">
        <w:rPr>
          <w:rFonts w:ascii="Times New Roman" w:hAnsi="Times New Roman" w:cs="Times New Roman"/>
        </w:rPr>
        <w:t>behaviour</w:t>
      </w:r>
      <w:proofErr w:type="spellEnd"/>
      <w:r w:rsidRPr="002D1F54">
        <w:rPr>
          <w:rFonts w:ascii="Times New Roman" w:hAnsi="Times New Roman" w:cs="Times New Roman"/>
        </w:rPr>
        <w:t xml:space="preserve"> (OB) theory to critically examine how AstraZeneca manages its people, culture and strategic change to continue being globally unbeatable scientific leaders. It discusses the major themes of OB, such as leadership, </w:t>
      </w:r>
      <w:proofErr w:type="spellStart"/>
      <w:r w:rsidRPr="002D1F54">
        <w:rPr>
          <w:rFonts w:ascii="Times New Roman" w:hAnsi="Times New Roman" w:cs="Times New Roman"/>
        </w:rPr>
        <w:lastRenderedPageBreak/>
        <w:t>organisational</w:t>
      </w:r>
      <w:proofErr w:type="spellEnd"/>
      <w:r w:rsidRPr="002D1F54">
        <w:rPr>
          <w:rFonts w:ascii="Times New Roman" w:hAnsi="Times New Roman" w:cs="Times New Roman"/>
        </w:rPr>
        <w:t xml:space="preserve"> structure, power relations, culture, employee development, equity, diversity and inclusion (EDI), as well as </w:t>
      </w:r>
      <w:proofErr w:type="spellStart"/>
      <w:r w:rsidRPr="002D1F54">
        <w:rPr>
          <w:rFonts w:ascii="Times New Roman" w:hAnsi="Times New Roman" w:cs="Times New Roman"/>
        </w:rPr>
        <w:t>organisational</w:t>
      </w:r>
      <w:proofErr w:type="spellEnd"/>
      <w:r w:rsidRPr="002D1F54">
        <w:rPr>
          <w:rFonts w:ascii="Times New Roman" w:hAnsi="Times New Roman" w:cs="Times New Roman"/>
        </w:rPr>
        <w:t xml:space="preserve"> change through the perspectives of Mullins (2016), Schein (2017), Herzberg (1959), Vroom (1964), and Kotter (1996). AstraZeneca is a British-Swedish biopharmaceutical manufacturer with more than 83,000 workers working in 100+ countries (AstraZeneca, 2023). The company rose to international fame after developing the Oxford COVID-19 vaccine at a rapid pace and is still focused on innovation in oncology, cardiovascular and respiratory treatments. Its mission, </w:t>
      </w:r>
      <w:r w:rsidR="00421DDD" w:rsidRPr="00346D7D">
        <w:rPr>
          <w:rFonts w:ascii="Times New Roman" w:hAnsi="Times New Roman" w:cs="Times New Roman"/>
        </w:rPr>
        <w:t>‘</w:t>
      </w:r>
      <w:r w:rsidRPr="002D1F54">
        <w:rPr>
          <w:rFonts w:ascii="Times New Roman" w:hAnsi="Times New Roman" w:cs="Times New Roman"/>
        </w:rPr>
        <w:t>What science can do</w:t>
      </w:r>
      <w:r w:rsidR="00421DDD" w:rsidRPr="00346D7D">
        <w:rPr>
          <w:rFonts w:ascii="Times New Roman" w:hAnsi="Times New Roman" w:cs="Times New Roman"/>
        </w:rPr>
        <w:t>’</w:t>
      </w:r>
      <w:r w:rsidRPr="002D1F54">
        <w:rPr>
          <w:rFonts w:ascii="Times New Roman" w:hAnsi="Times New Roman" w:cs="Times New Roman"/>
        </w:rPr>
        <w:t>, captures a purpose-driven innovation/inclusive leadership culture</w:t>
      </w:r>
      <w:r w:rsidR="00C21530" w:rsidRPr="00346D7D">
        <w:rPr>
          <w:rFonts w:ascii="Times New Roman" w:hAnsi="Times New Roman" w:cs="Times New Roman"/>
        </w:rPr>
        <w:t xml:space="preserve"> (</w:t>
      </w:r>
      <w:proofErr w:type="spellStart"/>
      <w:r w:rsidR="00C21530" w:rsidRPr="002836DA">
        <w:rPr>
          <w:rFonts w:ascii="Times New Roman" w:hAnsi="Times New Roman" w:cs="Times New Roman"/>
        </w:rPr>
        <w:t>Aliekperova</w:t>
      </w:r>
      <w:proofErr w:type="spellEnd"/>
      <w:r w:rsidR="00C21530" w:rsidRPr="002836DA">
        <w:rPr>
          <w:rFonts w:ascii="Times New Roman" w:hAnsi="Times New Roman" w:cs="Times New Roman"/>
        </w:rPr>
        <w:t>,</w:t>
      </w:r>
      <w:r w:rsidR="00C21530" w:rsidRPr="00346D7D">
        <w:rPr>
          <w:rFonts w:ascii="Times New Roman" w:hAnsi="Times New Roman" w:cs="Times New Roman"/>
        </w:rPr>
        <w:t xml:space="preserve"> </w:t>
      </w:r>
      <w:r w:rsidR="00C21530" w:rsidRPr="002836DA">
        <w:rPr>
          <w:rFonts w:ascii="Times New Roman" w:hAnsi="Times New Roman" w:cs="Times New Roman"/>
        </w:rPr>
        <w:t>2025</w:t>
      </w:r>
      <w:r w:rsidR="00C21530" w:rsidRPr="00346D7D">
        <w:rPr>
          <w:rFonts w:ascii="Times New Roman" w:hAnsi="Times New Roman" w:cs="Times New Roman"/>
        </w:rPr>
        <w:t>)</w:t>
      </w:r>
      <w:r w:rsidRPr="002D1F54">
        <w:rPr>
          <w:rFonts w:ascii="Times New Roman" w:hAnsi="Times New Roman" w:cs="Times New Roman"/>
        </w:rPr>
        <w:t xml:space="preserve">. Having a complex structure of the matrix and </w:t>
      </w:r>
      <w:proofErr w:type="spellStart"/>
      <w:r w:rsidRPr="002D1F54">
        <w:rPr>
          <w:rFonts w:ascii="Times New Roman" w:hAnsi="Times New Roman" w:cs="Times New Roman"/>
        </w:rPr>
        <w:t>decentralised</w:t>
      </w:r>
      <w:proofErr w:type="spellEnd"/>
      <w:r w:rsidRPr="002D1F54">
        <w:rPr>
          <w:rFonts w:ascii="Times New Roman" w:hAnsi="Times New Roman" w:cs="Times New Roman"/>
        </w:rPr>
        <w:t xml:space="preserve"> R&amp;D </w:t>
      </w:r>
      <w:proofErr w:type="spellStart"/>
      <w:r w:rsidRPr="002D1F54">
        <w:rPr>
          <w:rFonts w:ascii="Times New Roman" w:hAnsi="Times New Roman" w:cs="Times New Roman"/>
        </w:rPr>
        <w:t>centres</w:t>
      </w:r>
      <w:proofErr w:type="spellEnd"/>
      <w:r w:rsidRPr="002D1F54">
        <w:rPr>
          <w:rFonts w:ascii="Times New Roman" w:hAnsi="Times New Roman" w:cs="Times New Roman"/>
        </w:rPr>
        <w:t>, AstraZeneca offers a specific situation where OB theories are applicable to the real practices. The report intends to examine the correspondence of theoretical impact with people strategy, cultural change and sustainability performance targets of AstraZeneca.</w:t>
      </w:r>
    </w:p>
    <w:p w14:paraId="27C845F2" w14:textId="1807129F" w:rsidR="00335383" w:rsidRPr="00335383" w:rsidRDefault="00335383" w:rsidP="00346D7D">
      <w:pPr>
        <w:spacing w:line="480" w:lineRule="auto"/>
        <w:rPr>
          <w:rFonts w:ascii="Times New Roman" w:hAnsi="Times New Roman" w:cs="Times New Roman"/>
          <w:b/>
          <w:bCs/>
        </w:rPr>
      </w:pPr>
      <w:proofErr w:type="spellStart"/>
      <w:r w:rsidRPr="00335383">
        <w:rPr>
          <w:rFonts w:ascii="Times New Roman" w:hAnsi="Times New Roman" w:cs="Times New Roman"/>
          <w:b/>
          <w:bCs/>
        </w:rPr>
        <w:t>Organisational</w:t>
      </w:r>
      <w:proofErr w:type="spellEnd"/>
      <w:r w:rsidRPr="00335383">
        <w:rPr>
          <w:rFonts w:ascii="Times New Roman" w:hAnsi="Times New Roman" w:cs="Times New Roman"/>
          <w:b/>
          <w:bCs/>
        </w:rPr>
        <w:t xml:space="preserve"> Structure and Communication </w:t>
      </w:r>
    </w:p>
    <w:p w14:paraId="05AEE495" w14:textId="796BF10E" w:rsidR="00324520" w:rsidRPr="002D1F54" w:rsidRDefault="00324520" w:rsidP="00346D7D">
      <w:pPr>
        <w:spacing w:line="480" w:lineRule="auto"/>
        <w:ind w:firstLine="720"/>
        <w:rPr>
          <w:rFonts w:ascii="Times New Roman" w:hAnsi="Times New Roman" w:cs="Times New Roman"/>
        </w:rPr>
      </w:pPr>
      <w:r w:rsidRPr="002D1F54">
        <w:rPr>
          <w:rFonts w:ascii="Times New Roman" w:hAnsi="Times New Roman" w:cs="Times New Roman"/>
        </w:rPr>
        <w:t xml:space="preserve">AstraZeneca has a global matrixed business model, which entails product divisions (e.g., oncology, cardiovascular) and geographical markets to facilitate agility and innovation (AstraZeneca, 2023). This correlates with the classical theory of Fayol, who highlighted cutting off the work and a hierarchical chain of command as the methods to enforce accountability (Mullins, 2016). Nevertheless, unlike strict bureaucracies, AstraZeneca incorporates </w:t>
      </w:r>
      <w:proofErr w:type="spellStart"/>
      <w:r w:rsidRPr="002D1F54">
        <w:rPr>
          <w:rFonts w:ascii="Times New Roman" w:hAnsi="Times New Roman" w:cs="Times New Roman"/>
        </w:rPr>
        <w:t>decentralised</w:t>
      </w:r>
      <w:proofErr w:type="spellEnd"/>
      <w:r w:rsidRPr="002D1F54">
        <w:rPr>
          <w:rFonts w:ascii="Times New Roman" w:hAnsi="Times New Roman" w:cs="Times New Roman"/>
        </w:rPr>
        <w:t xml:space="preserve"> research and development </w:t>
      </w:r>
      <w:proofErr w:type="spellStart"/>
      <w:r w:rsidRPr="002D1F54">
        <w:rPr>
          <w:rFonts w:ascii="Times New Roman" w:hAnsi="Times New Roman" w:cs="Times New Roman"/>
        </w:rPr>
        <w:t>centres</w:t>
      </w:r>
      <w:proofErr w:type="spellEnd"/>
      <w:r w:rsidRPr="002D1F54">
        <w:rPr>
          <w:rFonts w:ascii="Times New Roman" w:hAnsi="Times New Roman" w:cs="Times New Roman"/>
        </w:rPr>
        <w:t xml:space="preserve"> in the UK, US and Sweden, where scientists are free to be creative. The scientific management theory by Taylor explains further that the efficiency and task </w:t>
      </w:r>
      <w:proofErr w:type="spellStart"/>
      <w:r w:rsidRPr="002D1F54">
        <w:rPr>
          <w:rFonts w:ascii="Times New Roman" w:hAnsi="Times New Roman" w:cs="Times New Roman"/>
        </w:rPr>
        <w:t>specialisation</w:t>
      </w:r>
      <w:proofErr w:type="spellEnd"/>
      <w:r w:rsidRPr="002D1F54">
        <w:rPr>
          <w:rFonts w:ascii="Times New Roman" w:hAnsi="Times New Roman" w:cs="Times New Roman"/>
        </w:rPr>
        <w:t xml:space="preserve"> are entrenched in such functions as drug discovery and clinical trials</w:t>
      </w:r>
      <w:r w:rsidR="00C21530" w:rsidRPr="00346D7D">
        <w:rPr>
          <w:rFonts w:ascii="Times New Roman" w:hAnsi="Times New Roman" w:cs="Times New Roman"/>
        </w:rPr>
        <w:t xml:space="preserve"> (</w:t>
      </w:r>
      <w:proofErr w:type="spellStart"/>
      <w:r w:rsidR="00C21530" w:rsidRPr="002836DA">
        <w:rPr>
          <w:rFonts w:ascii="Times New Roman" w:hAnsi="Times New Roman" w:cs="Times New Roman"/>
        </w:rPr>
        <w:t>Vojkovic</w:t>
      </w:r>
      <w:proofErr w:type="spellEnd"/>
      <w:r w:rsidR="00C21530" w:rsidRPr="002836DA">
        <w:rPr>
          <w:rFonts w:ascii="Times New Roman" w:hAnsi="Times New Roman" w:cs="Times New Roman"/>
        </w:rPr>
        <w:t xml:space="preserve"> Mitic, 2020</w:t>
      </w:r>
      <w:r w:rsidR="00C21530" w:rsidRPr="00346D7D">
        <w:rPr>
          <w:rFonts w:ascii="Times New Roman" w:hAnsi="Times New Roman" w:cs="Times New Roman"/>
        </w:rPr>
        <w:t>)</w:t>
      </w:r>
      <w:r w:rsidRPr="002D1F54">
        <w:rPr>
          <w:rFonts w:ascii="Times New Roman" w:hAnsi="Times New Roman" w:cs="Times New Roman"/>
        </w:rPr>
        <w:t xml:space="preserve">. According to the structural approaches made by Mintzberg, AstraZeneca may be classified as a professional bureaucracy where heavily educated </w:t>
      </w:r>
      <w:r w:rsidRPr="002D1F54">
        <w:rPr>
          <w:rFonts w:ascii="Times New Roman" w:hAnsi="Times New Roman" w:cs="Times New Roman"/>
        </w:rPr>
        <w:lastRenderedPageBreak/>
        <w:t xml:space="preserve">professionals and </w:t>
      </w:r>
      <w:proofErr w:type="spellStart"/>
      <w:r w:rsidRPr="002D1F54">
        <w:rPr>
          <w:rFonts w:ascii="Times New Roman" w:hAnsi="Times New Roman" w:cs="Times New Roman"/>
        </w:rPr>
        <w:t>standardised</w:t>
      </w:r>
      <w:proofErr w:type="spellEnd"/>
      <w:r w:rsidRPr="002D1F54">
        <w:rPr>
          <w:rFonts w:ascii="Times New Roman" w:hAnsi="Times New Roman" w:cs="Times New Roman"/>
        </w:rPr>
        <w:t xml:space="preserve"> products are guided by </w:t>
      </w:r>
      <w:proofErr w:type="spellStart"/>
      <w:r w:rsidRPr="002D1F54">
        <w:rPr>
          <w:rFonts w:ascii="Times New Roman" w:hAnsi="Times New Roman" w:cs="Times New Roman"/>
        </w:rPr>
        <w:t>decentralised</w:t>
      </w:r>
      <w:proofErr w:type="spellEnd"/>
      <w:r w:rsidRPr="002D1F54">
        <w:rPr>
          <w:rFonts w:ascii="Times New Roman" w:hAnsi="Times New Roman" w:cs="Times New Roman"/>
        </w:rPr>
        <w:t xml:space="preserve"> control (Mintzberg, 1979). This enables innovation shortly led by specialists but also promotes issues of coordination characteristic of complex matrix settings, particularly where project authority cuts across functional lines (Mullins, 2016).</w:t>
      </w:r>
    </w:p>
    <w:p w14:paraId="0851DDB1" w14:textId="7E0BCAF2" w:rsidR="00335383" w:rsidRPr="00335383" w:rsidRDefault="00324520" w:rsidP="00346D7D">
      <w:pPr>
        <w:spacing w:line="480" w:lineRule="auto"/>
        <w:ind w:firstLine="720"/>
        <w:rPr>
          <w:rFonts w:ascii="Times New Roman" w:hAnsi="Times New Roman" w:cs="Times New Roman"/>
        </w:rPr>
      </w:pPr>
      <w:r w:rsidRPr="002D1F54">
        <w:rPr>
          <w:rFonts w:ascii="Times New Roman" w:hAnsi="Times New Roman" w:cs="Times New Roman"/>
        </w:rPr>
        <w:t xml:space="preserve">At AstraZeneca, communication is </w:t>
      </w:r>
      <w:proofErr w:type="spellStart"/>
      <w:r w:rsidRPr="002D1F54">
        <w:rPr>
          <w:rFonts w:ascii="Times New Roman" w:hAnsi="Times New Roman" w:cs="Times New Roman"/>
        </w:rPr>
        <w:t>organised</w:t>
      </w:r>
      <w:proofErr w:type="spellEnd"/>
      <w:r w:rsidRPr="002D1F54">
        <w:rPr>
          <w:rFonts w:ascii="Times New Roman" w:hAnsi="Times New Roman" w:cs="Times New Roman"/>
        </w:rPr>
        <w:t xml:space="preserve"> into cross-functional global teams in which R&amp;D, regulatory affairs, manufacturing, and marketing activities are united to balance the scientific and commercial objectives (AstraZeneca, 2023). Cross-border communication and real-time decision-making are made possible by the use of digital collaboration tools, e.g., internal portals and virtual workspaces. Though it amplifies knowledge sharing and responsiveness, it elevates exposure to soft skills and management explanations to curtail role ambiguity and redundancy. CIPD (2023) reckons that in the event of a lack of clarity in reporting lines, poor matrix communication can lead to fragmented accountability. AstraZeneca responds to this by investing in internal communication strategies and project management training, particularly for the team leaders. However, the company continues to struggle in terms of global uniformity and local acuity, especially in highly controlled markets. Thus, the structure supports innovation, although it demands effective coordination mechanisms and interpersonal communication (Schein, 2017).</w:t>
      </w:r>
    </w:p>
    <w:p w14:paraId="47B27A4F" w14:textId="39C00EDD" w:rsidR="00335383" w:rsidRPr="00335383" w:rsidRDefault="00335383" w:rsidP="00346D7D">
      <w:pPr>
        <w:spacing w:line="480" w:lineRule="auto"/>
        <w:rPr>
          <w:rFonts w:ascii="Times New Roman" w:hAnsi="Times New Roman" w:cs="Times New Roman"/>
          <w:b/>
          <w:bCs/>
        </w:rPr>
      </w:pPr>
      <w:proofErr w:type="spellStart"/>
      <w:r w:rsidRPr="00335383">
        <w:rPr>
          <w:rFonts w:ascii="Times New Roman" w:hAnsi="Times New Roman" w:cs="Times New Roman"/>
          <w:b/>
          <w:bCs/>
        </w:rPr>
        <w:t>Organisational</w:t>
      </w:r>
      <w:proofErr w:type="spellEnd"/>
      <w:r w:rsidRPr="00335383">
        <w:rPr>
          <w:rFonts w:ascii="Times New Roman" w:hAnsi="Times New Roman" w:cs="Times New Roman"/>
          <w:b/>
          <w:bCs/>
        </w:rPr>
        <w:t xml:space="preserve"> </w:t>
      </w:r>
      <w:proofErr w:type="spellStart"/>
      <w:r w:rsidRPr="00335383">
        <w:rPr>
          <w:rFonts w:ascii="Times New Roman" w:hAnsi="Times New Roman" w:cs="Times New Roman"/>
          <w:b/>
          <w:bCs/>
        </w:rPr>
        <w:t>Behaviour</w:t>
      </w:r>
      <w:proofErr w:type="spellEnd"/>
      <w:r w:rsidRPr="00335383">
        <w:rPr>
          <w:rFonts w:ascii="Times New Roman" w:hAnsi="Times New Roman" w:cs="Times New Roman"/>
          <w:b/>
          <w:bCs/>
        </w:rPr>
        <w:t xml:space="preserve"> Theories &amp; Leadership Influences </w:t>
      </w:r>
    </w:p>
    <w:p w14:paraId="53C821A6" w14:textId="77777777" w:rsidR="00D438D9" w:rsidRPr="002D1F54" w:rsidRDefault="00D438D9" w:rsidP="00346D7D">
      <w:pPr>
        <w:spacing w:line="480" w:lineRule="auto"/>
        <w:ind w:firstLine="720"/>
        <w:rPr>
          <w:rFonts w:ascii="Times New Roman" w:hAnsi="Times New Roman" w:cs="Times New Roman"/>
        </w:rPr>
      </w:pPr>
      <w:r w:rsidRPr="002D1F54">
        <w:rPr>
          <w:rFonts w:ascii="Times New Roman" w:hAnsi="Times New Roman" w:cs="Times New Roman"/>
        </w:rPr>
        <w:t xml:space="preserve">AstraZeneca leadership is supported by CEO Pascal Soriot, whose leadership style, transformational leadership, has steered the firm in significant transformation, and one of them was the speedy formulation of the Oxford COVID-19 vaccine. The capacity to create a common vision and inspire it, build trust, and make devotion to the vision go beyond personal concern </w:t>
      </w:r>
      <w:proofErr w:type="spellStart"/>
      <w:r w:rsidRPr="002D1F54">
        <w:rPr>
          <w:rFonts w:ascii="Times New Roman" w:hAnsi="Times New Roman" w:cs="Times New Roman"/>
        </w:rPr>
        <w:t>characterises</w:t>
      </w:r>
      <w:proofErr w:type="spellEnd"/>
      <w:r w:rsidRPr="002D1F54">
        <w:rPr>
          <w:rFonts w:ascii="Times New Roman" w:hAnsi="Times New Roman" w:cs="Times New Roman"/>
        </w:rPr>
        <w:t xml:space="preserve"> transformational leaders (Mullins, 2016). An example of this leadership model </w:t>
      </w:r>
      <w:r w:rsidRPr="002D1F54">
        <w:rPr>
          <w:rFonts w:ascii="Times New Roman" w:hAnsi="Times New Roman" w:cs="Times New Roman"/>
        </w:rPr>
        <w:lastRenderedPageBreak/>
        <w:t xml:space="preserve">during the pandemic was </w:t>
      </w:r>
      <w:proofErr w:type="spellStart"/>
      <w:r w:rsidRPr="002D1F54">
        <w:rPr>
          <w:rFonts w:ascii="Times New Roman" w:hAnsi="Times New Roman" w:cs="Times New Roman"/>
        </w:rPr>
        <w:t>Soriot</w:t>
      </w:r>
      <w:proofErr w:type="spellEnd"/>
      <w:r w:rsidRPr="002D1F54">
        <w:rPr>
          <w:rFonts w:ascii="Times New Roman" w:hAnsi="Times New Roman" w:cs="Times New Roman"/>
        </w:rPr>
        <w:t>, who operated on the basis of serving the people rather than pursuing profit, which was not only ethical but also a strategic decision (AstraZeneca, 2023). His management enabled dynamic cross-functional cooperation, whereby global teams were being empowered to combine scientific innovation with social responsibility. This type of leadership, too, falls into the leadership grid of Blake and Mouton, with a high level of concern with people production. This dual focus is facilitated by the fact that AstraZeneca is well-faced with making sure they produce substantial output even during a crisis (CIPD, 2023).</w:t>
      </w:r>
    </w:p>
    <w:p w14:paraId="3FBFBC9D" w14:textId="77777777" w:rsidR="00D438D9" w:rsidRPr="002D1F54" w:rsidRDefault="00D438D9" w:rsidP="00346D7D">
      <w:pPr>
        <w:spacing w:line="480" w:lineRule="auto"/>
        <w:ind w:firstLine="720"/>
        <w:rPr>
          <w:rFonts w:ascii="Times New Roman" w:hAnsi="Times New Roman" w:cs="Times New Roman"/>
        </w:rPr>
      </w:pPr>
      <w:r w:rsidRPr="002D1F54">
        <w:rPr>
          <w:rFonts w:ascii="Times New Roman" w:hAnsi="Times New Roman" w:cs="Times New Roman"/>
        </w:rPr>
        <w:t xml:space="preserve">The Two-Factor Theory formulated by Herzberg is reflected in the AstraZeneca motivation strategy, where hygienic factors, including pay and job security, form the base, but engagement lies in motivators, including recognition, achievement, and career development (Herzberg et al., 1959). This is especially true of AstraZeneca and its R&amp;D staff, where job enrichment plans comprise scientific autonomy, openness to innovation, and research breakthrough reward systems. The Expectancy Theory by Vroom also outlines how innovational awards, in-house promotions and individual development plans were </w:t>
      </w:r>
      <w:proofErr w:type="spellStart"/>
      <w:r w:rsidRPr="002D1F54">
        <w:rPr>
          <w:rFonts w:ascii="Times New Roman" w:hAnsi="Times New Roman" w:cs="Times New Roman"/>
        </w:rPr>
        <w:t>utilised</w:t>
      </w:r>
      <w:proofErr w:type="spellEnd"/>
      <w:r w:rsidRPr="002D1F54">
        <w:rPr>
          <w:rFonts w:ascii="Times New Roman" w:hAnsi="Times New Roman" w:cs="Times New Roman"/>
        </w:rPr>
        <w:t xml:space="preserve"> in AstraZeneca since employees work hard when they know that their efforts will enable them to get the coveted rewards (Vroom, 1964). In AstraZeneca, in the Leading Through Change </w:t>
      </w:r>
      <w:proofErr w:type="spellStart"/>
      <w:r w:rsidRPr="002D1F54">
        <w:rPr>
          <w:rFonts w:ascii="Times New Roman" w:hAnsi="Times New Roman" w:cs="Times New Roman"/>
        </w:rPr>
        <w:t>programme</w:t>
      </w:r>
      <w:proofErr w:type="spellEnd"/>
      <w:r w:rsidRPr="002D1F54">
        <w:rPr>
          <w:rFonts w:ascii="Times New Roman" w:hAnsi="Times New Roman" w:cs="Times New Roman"/>
        </w:rPr>
        <w:t xml:space="preserve">, leadership </w:t>
      </w:r>
      <w:proofErr w:type="spellStart"/>
      <w:r w:rsidRPr="002D1F54">
        <w:rPr>
          <w:rFonts w:ascii="Times New Roman" w:hAnsi="Times New Roman" w:cs="Times New Roman"/>
        </w:rPr>
        <w:t>behaviours</w:t>
      </w:r>
      <w:proofErr w:type="spellEnd"/>
      <w:r w:rsidRPr="002D1F54">
        <w:rPr>
          <w:rFonts w:ascii="Times New Roman" w:hAnsi="Times New Roman" w:cs="Times New Roman"/>
        </w:rPr>
        <w:t xml:space="preserve"> are directly associated with recognition and advancement, which heightens expectancy and instrumentality.</w:t>
      </w:r>
    </w:p>
    <w:p w14:paraId="73101377" w14:textId="3B15271D" w:rsidR="00335383" w:rsidRPr="00335383" w:rsidRDefault="00D438D9" w:rsidP="00346D7D">
      <w:pPr>
        <w:spacing w:line="480" w:lineRule="auto"/>
        <w:ind w:firstLine="720"/>
        <w:rPr>
          <w:rFonts w:ascii="Times New Roman" w:hAnsi="Times New Roman" w:cs="Times New Roman"/>
        </w:rPr>
      </w:pPr>
      <w:r w:rsidRPr="002D1F54">
        <w:rPr>
          <w:rFonts w:ascii="Times New Roman" w:hAnsi="Times New Roman" w:cs="Times New Roman"/>
        </w:rPr>
        <w:t xml:space="preserve">Team leadership is distributed to local management teams in more than 100 countries, who can locally </w:t>
      </w:r>
      <w:proofErr w:type="spellStart"/>
      <w:r w:rsidRPr="002D1F54">
        <w:rPr>
          <w:rFonts w:ascii="Times New Roman" w:hAnsi="Times New Roman" w:cs="Times New Roman"/>
        </w:rPr>
        <w:t>customise</w:t>
      </w:r>
      <w:proofErr w:type="spellEnd"/>
      <w:r w:rsidRPr="002D1F54">
        <w:rPr>
          <w:rFonts w:ascii="Times New Roman" w:hAnsi="Times New Roman" w:cs="Times New Roman"/>
        </w:rPr>
        <w:t xml:space="preserve"> corporate strategies to local realities. This can be interpreted as the Theory Y of McGregor since workers are viewed as self-motivated and able to take responsibility when they have trust and support (Mullins, 2016). This philosophy can be supported by the regular investment made by AstraZeneca in inclusive leadership training and </w:t>
      </w:r>
      <w:r w:rsidRPr="002D1F54">
        <w:rPr>
          <w:rFonts w:ascii="Times New Roman" w:hAnsi="Times New Roman" w:cs="Times New Roman"/>
        </w:rPr>
        <w:lastRenderedPageBreak/>
        <w:t xml:space="preserve">mentoring </w:t>
      </w:r>
      <w:proofErr w:type="spellStart"/>
      <w:r w:rsidRPr="002D1F54">
        <w:rPr>
          <w:rFonts w:ascii="Times New Roman" w:hAnsi="Times New Roman" w:cs="Times New Roman"/>
        </w:rPr>
        <w:t>programmes</w:t>
      </w:r>
      <w:proofErr w:type="spellEnd"/>
      <w:r w:rsidRPr="002D1F54">
        <w:rPr>
          <w:rFonts w:ascii="Times New Roman" w:hAnsi="Times New Roman" w:cs="Times New Roman"/>
        </w:rPr>
        <w:t>. AstraZeneca leadership is not traditionally managed in top-down mode but rather nurtured at cross-layers, building a strong spring and dynamics during crisis and beyond.</w:t>
      </w:r>
    </w:p>
    <w:p w14:paraId="4AC7A2CF" w14:textId="023EFC87" w:rsidR="00335383" w:rsidRPr="00335383" w:rsidRDefault="00335383" w:rsidP="00346D7D">
      <w:pPr>
        <w:spacing w:line="480" w:lineRule="auto"/>
        <w:rPr>
          <w:rFonts w:ascii="Times New Roman" w:hAnsi="Times New Roman" w:cs="Times New Roman"/>
          <w:b/>
          <w:bCs/>
        </w:rPr>
      </w:pPr>
      <w:r w:rsidRPr="00335383">
        <w:rPr>
          <w:rFonts w:ascii="Times New Roman" w:hAnsi="Times New Roman" w:cs="Times New Roman"/>
          <w:b/>
          <w:bCs/>
        </w:rPr>
        <w:t>Power Dynamics and Their Impact</w:t>
      </w:r>
    </w:p>
    <w:p w14:paraId="1E393108" w14:textId="77777777" w:rsidR="00C61D9D" w:rsidRPr="00346D7D" w:rsidRDefault="00335383" w:rsidP="00346D7D">
      <w:pPr>
        <w:spacing w:line="480" w:lineRule="auto"/>
        <w:rPr>
          <w:rFonts w:ascii="Times New Roman" w:hAnsi="Times New Roman" w:cs="Times New Roman"/>
          <w:b/>
          <w:bCs/>
        </w:rPr>
      </w:pPr>
      <w:r w:rsidRPr="00335383">
        <w:rPr>
          <w:rFonts w:ascii="Times New Roman" w:hAnsi="Times New Roman" w:cs="Times New Roman"/>
          <w:b/>
          <w:bCs/>
        </w:rPr>
        <w:t>Sources of Power</w:t>
      </w:r>
    </w:p>
    <w:p w14:paraId="0A769E9C" w14:textId="3A95AB18" w:rsidR="003F3EB2" w:rsidRPr="00346D7D" w:rsidRDefault="003F3EB2" w:rsidP="00346D7D">
      <w:pPr>
        <w:pStyle w:val="NormalWeb"/>
        <w:spacing w:line="480" w:lineRule="auto"/>
        <w:ind w:firstLine="720"/>
      </w:pPr>
      <w:r w:rsidRPr="00346D7D">
        <w:t>In AstraZeneca, senior executives, especially those in the executive committee and board wielding positional power, decide the strategy to be followed and how to use resources. At the same time, expert power is concentrated to a great extent in the R&amp;D teams and regulatory scientists, whose special expertise plays a significant role in product orientation and innovation directions (AstraZeneca, 2023).</w:t>
      </w:r>
    </w:p>
    <w:p w14:paraId="03AF8577" w14:textId="77777777" w:rsidR="003F3EB2" w:rsidRPr="00346D7D" w:rsidRDefault="003F3EB2" w:rsidP="00346D7D">
      <w:pPr>
        <w:pStyle w:val="NormalWeb"/>
        <w:spacing w:line="480" w:lineRule="auto"/>
        <w:rPr>
          <w:b/>
          <w:bCs/>
        </w:rPr>
      </w:pPr>
      <w:r w:rsidRPr="00346D7D">
        <w:rPr>
          <w:b/>
          <w:bCs/>
        </w:rPr>
        <w:t>Theories Applied</w:t>
      </w:r>
    </w:p>
    <w:p w14:paraId="7F9FE1F2" w14:textId="77777777" w:rsidR="003F3EB2" w:rsidRPr="00346D7D" w:rsidRDefault="003F3EB2" w:rsidP="00346D7D">
      <w:pPr>
        <w:pStyle w:val="NormalWeb"/>
        <w:spacing w:line="480" w:lineRule="auto"/>
        <w:ind w:firstLine="720"/>
      </w:pPr>
      <w:r w:rsidRPr="00346D7D">
        <w:t>The power base theory by French and Raven (1959) explains the power dynamics at AstraZeneca as a combination of legitimate, reward, and expert power. Senior managers have formal power (legitimate power), and those performance bonuses, like innovation points and team recognition, are the sources of reward power. With a strong command of technical knowledge, particularly in clinical studies, subject-matter experts are quite influential because they can exert expert power (Mullins, 2016).</w:t>
      </w:r>
    </w:p>
    <w:p w14:paraId="33ABF833" w14:textId="77777777" w:rsidR="003F3EB2" w:rsidRPr="00346D7D" w:rsidRDefault="003F3EB2" w:rsidP="00346D7D">
      <w:pPr>
        <w:pStyle w:val="NormalWeb"/>
        <w:spacing w:line="480" w:lineRule="auto"/>
        <w:rPr>
          <w:b/>
          <w:bCs/>
        </w:rPr>
      </w:pPr>
      <w:r w:rsidRPr="00346D7D">
        <w:rPr>
          <w:b/>
          <w:bCs/>
        </w:rPr>
        <w:t>Dynamics</w:t>
      </w:r>
    </w:p>
    <w:p w14:paraId="675D9CF5" w14:textId="77777777" w:rsidR="003F3EB2" w:rsidRPr="00346D7D" w:rsidRDefault="003F3EB2" w:rsidP="00346D7D">
      <w:pPr>
        <w:pStyle w:val="NormalWeb"/>
        <w:spacing w:line="480" w:lineRule="auto"/>
        <w:ind w:firstLine="720"/>
      </w:pPr>
      <w:r w:rsidRPr="00346D7D">
        <w:t xml:space="preserve">The executive leadership usually outlines strategic direction, whereas the execution is done by empowered project and research teams. This is an indicator of a mutual power model </w:t>
      </w:r>
      <w:r w:rsidRPr="00346D7D">
        <w:lastRenderedPageBreak/>
        <w:t xml:space="preserve">with vertical and horizontal flow of influence. The cross-functional working format of the matrix structure can facilitate the </w:t>
      </w:r>
      <w:proofErr w:type="spellStart"/>
      <w:r w:rsidRPr="00346D7D">
        <w:t>decentralisation</w:t>
      </w:r>
      <w:proofErr w:type="spellEnd"/>
      <w:r w:rsidRPr="00346D7D">
        <w:t xml:space="preserve"> of influence and </w:t>
      </w:r>
      <w:proofErr w:type="spellStart"/>
      <w:r w:rsidRPr="00346D7D">
        <w:t>minimise</w:t>
      </w:r>
      <w:proofErr w:type="spellEnd"/>
      <w:r w:rsidRPr="00346D7D">
        <w:t xml:space="preserve"> silo thinking in departments at AstraZeneca (Schein, 2017).</w:t>
      </w:r>
    </w:p>
    <w:p w14:paraId="0D5B5A71" w14:textId="77777777" w:rsidR="003F3EB2" w:rsidRPr="00346D7D" w:rsidRDefault="003F3EB2" w:rsidP="00346D7D">
      <w:pPr>
        <w:pStyle w:val="NormalWeb"/>
        <w:spacing w:line="480" w:lineRule="auto"/>
        <w:rPr>
          <w:b/>
          <w:bCs/>
        </w:rPr>
      </w:pPr>
      <w:r w:rsidRPr="00346D7D">
        <w:rPr>
          <w:b/>
          <w:bCs/>
        </w:rPr>
        <w:t>Challenges</w:t>
      </w:r>
    </w:p>
    <w:p w14:paraId="04A96910" w14:textId="77777777" w:rsidR="003F3EB2" w:rsidRPr="00346D7D" w:rsidRDefault="003F3EB2" w:rsidP="00346D7D">
      <w:pPr>
        <w:pStyle w:val="NormalWeb"/>
        <w:spacing w:line="480" w:lineRule="auto"/>
        <w:ind w:firstLine="720"/>
      </w:pPr>
      <w:r w:rsidRPr="00346D7D">
        <w:t>Nonetheless, the matrix ambiguity may bring about power struggles in the situation where roles have aboutness or where a simultaneous reporting line brings confusion (Mintzberg, 1979). AstraZeneca deals with this by training on conflict resolution, but still, there can exist tensions, especially in the process of cross-functional project implementation. Thus, efficient trust-building and interpersonal communication are still important to ensure efficient power dynamics and clarity of decisions.</w:t>
      </w:r>
    </w:p>
    <w:p w14:paraId="72302D47" w14:textId="77777777" w:rsidR="003F3EB2" w:rsidRPr="00346D7D" w:rsidRDefault="003F3EB2" w:rsidP="00346D7D">
      <w:pPr>
        <w:pStyle w:val="NormalWeb"/>
        <w:spacing w:line="480" w:lineRule="auto"/>
        <w:rPr>
          <w:b/>
          <w:bCs/>
        </w:rPr>
      </w:pPr>
      <w:r w:rsidRPr="00346D7D">
        <w:rPr>
          <w:b/>
          <w:bCs/>
        </w:rPr>
        <w:t xml:space="preserve">Analysis of </w:t>
      </w:r>
      <w:proofErr w:type="spellStart"/>
      <w:r w:rsidRPr="00346D7D">
        <w:rPr>
          <w:b/>
          <w:bCs/>
        </w:rPr>
        <w:t>Organisational</w:t>
      </w:r>
      <w:proofErr w:type="spellEnd"/>
      <w:r w:rsidRPr="00346D7D">
        <w:rPr>
          <w:b/>
          <w:bCs/>
        </w:rPr>
        <w:t xml:space="preserve"> Culture.</w:t>
      </w:r>
    </w:p>
    <w:p w14:paraId="3D45EBEA" w14:textId="27FD17B8" w:rsidR="003F3EB2" w:rsidRPr="00346D7D" w:rsidRDefault="003F3EB2" w:rsidP="00346D7D">
      <w:pPr>
        <w:pStyle w:val="NormalWeb"/>
        <w:spacing w:line="480" w:lineRule="auto"/>
        <w:ind w:firstLine="720"/>
      </w:pPr>
      <w:r w:rsidRPr="00346D7D">
        <w:t xml:space="preserve">AstraZeneca's </w:t>
      </w:r>
      <w:proofErr w:type="spellStart"/>
      <w:r w:rsidRPr="00346D7D">
        <w:t>organisational</w:t>
      </w:r>
      <w:proofErr w:type="spellEnd"/>
      <w:r w:rsidRPr="00346D7D">
        <w:t xml:space="preserve"> culture is grounded in the philosophy of scientific innovation, ethical </w:t>
      </w:r>
      <w:proofErr w:type="spellStart"/>
      <w:r w:rsidRPr="00346D7D">
        <w:t>behaviour</w:t>
      </w:r>
      <w:proofErr w:type="spellEnd"/>
      <w:r w:rsidRPr="00346D7D">
        <w:t xml:space="preserve"> and social purpose, in line with its central conviction: what science can do. Three levels can be evaluated by relying on the model of </w:t>
      </w:r>
      <w:proofErr w:type="spellStart"/>
      <w:r w:rsidRPr="00346D7D">
        <w:t>organisational</w:t>
      </w:r>
      <w:proofErr w:type="spellEnd"/>
      <w:r w:rsidRPr="00346D7D">
        <w:t xml:space="preserve"> culture by Schein (2017). On the artefact level, innovation laboratories, cross-functional teams, and digital research and development platforms can give a visible sign of a performance-focused culture</w:t>
      </w:r>
      <w:r w:rsidR="00C21530" w:rsidRPr="00346D7D">
        <w:t xml:space="preserve"> (</w:t>
      </w:r>
      <w:r w:rsidR="00C21530" w:rsidRPr="002836DA">
        <w:t>Tulum</w:t>
      </w:r>
      <w:r w:rsidR="00C21530" w:rsidRPr="00346D7D">
        <w:t xml:space="preserve"> et al</w:t>
      </w:r>
      <w:r w:rsidR="00C21530" w:rsidRPr="002836DA">
        <w:t>., 2022</w:t>
      </w:r>
      <w:r w:rsidR="00C21530" w:rsidRPr="00346D7D">
        <w:t>)</w:t>
      </w:r>
      <w:r w:rsidRPr="00346D7D">
        <w:t xml:space="preserve">. Team rituals are strengthened by frequent attention to scientific discoveries and world town meetings. At the value level, decision-making is informed by integrity, patient focus, and accountability, which is evident in the Code of Ethics of AstraZeneca (AstraZeneca, 2023). Lastly, at the assumption level, there exists a belief that state-of-the-art research enhances patient outcomes, which is implicitly central to the ESG and the access-to-medicine strategy of </w:t>
      </w:r>
      <w:r w:rsidRPr="00346D7D">
        <w:lastRenderedPageBreak/>
        <w:t xml:space="preserve">the firm. The Speak Up </w:t>
      </w:r>
      <w:proofErr w:type="spellStart"/>
      <w:r w:rsidRPr="00346D7D">
        <w:t>programme</w:t>
      </w:r>
      <w:proofErr w:type="spellEnd"/>
      <w:r w:rsidRPr="00346D7D">
        <w:t xml:space="preserve"> in AstraZeneca promotes a culture of psychological safety whereby ethical disclosures can be made without the fear of being </w:t>
      </w:r>
      <w:proofErr w:type="spellStart"/>
      <w:r w:rsidRPr="00346D7D">
        <w:t>victimised</w:t>
      </w:r>
      <w:proofErr w:type="spellEnd"/>
      <w:r w:rsidRPr="00346D7D">
        <w:t>. Such efforts demonstrate excellent transparency and build trusting relations at all the hierarchical levels, which is vital in an extremely regulated global industry (CIPD, 2023).</w:t>
      </w:r>
    </w:p>
    <w:p w14:paraId="3E7831DF" w14:textId="60EAF560" w:rsidR="003F3EB2" w:rsidRPr="00346D7D" w:rsidRDefault="003F3EB2" w:rsidP="00346D7D">
      <w:pPr>
        <w:pStyle w:val="NormalWeb"/>
        <w:spacing w:line="480" w:lineRule="auto"/>
        <w:ind w:firstLine="720"/>
      </w:pPr>
      <w:r w:rsidRPr="00346D7D">
        <w:t xml:space="preserve">Using the model of Handy (1993), AstraZeneca can be described as a mixture of role and task cultures. Definite roles, procedures, and accountability structures reflect role culture attributes in its well-developed matrix </w:t>
      </w:r>
      <w:proofErr w:type="spellStart"/>
      <w:r w:rsidRPr="00346D7D">
        <w:t>organisation</w:t>
      </w:r>
      <w:proofErr w:type="spellEnd"/>
      <w:r w:rsidRPr="00346D7D">
        <w:t xml:space="preserve"> and regulatory compliance requirements. At the same time, task culture can be seen in its R&amp;D projects, multinational project partnerships, and a focus on problem-solving and creativity instead of strict levels of </w:t>
      </w:r>
      <w:r w:rsidR="00C21530" w:rsidRPr="00346D7D">
        <w:t>organization (</w:t>
      </w:r>
      <w:proofErr w:type="spellStart"/>
      <w:r w:rsidR="00C21530" w:rsidRPr="002836DA">
        <w:t>Adeusi</w:t>
      </w:r>
      <w:proofErr w:type="spellEnd"/>
      <w:r w:rsidR="00C21530" w:rsidRPr="002836DA">
        <w:t>, 2011</w:t>
      </w:r>
      <w:r w:rsidR="00C21530" w:rsidRPr="00346D7D">
        <w:t>)</w:t>
      </w:r>
      <w:r w:rsidRPr="00346D7D">
        <w:t xml:space="preserve">. It is a flexible environment with this cultural balance in a heavy compliance environment. The culture of AstraZeneca is highly motivational, which leads to high employee engagement and retention and being ranked in the Gallup in the top science employer list of the world regularly (Investors in People, 2023). In addition, its culture encourages adaptive </w:t>
      </w:r>
      <w:proofErr w:type="spellStart"/>
      <w:r w:rsidRPr="00346D7D">
        <w:t>behaviours</w:t>
      </w:r>
      <w:proofErr w:type="spellEnd"/>
      <w:r w:rsidRPr="00346D7D">
        <w:t xml:space="preserve">, which will enable the </w:t>
      </w:r>
      <w:proofErr w:type="spellStart"/>
      <w:r w:rsidRPr="00346D7D">
        <w:t>organisation</w:t>
      </w:r>
      <w:proofErr w:type="spellEnd"/>
      <w:r w:rsidRPr="00346D7D">
        <w:t xml:space="preserve"> to cope with regulatory complexity in the international markets. In general, the culture of Astra </w:t>
      </w:r>
      <w:proofErr w:type="spellStart"/>
      <w:r w:rsidRPr="00346D7D">
        <w:t>Zedenca</w:t>
      </w:r>
      <w:proofErr w:type="spellEnd"/>
      <w:r w:rsidRPr="00346D7D">
        <w:t xml:space="preserve"> is a strategic resource which has developed not only internal performance but also identified with the external reputation in the scientific community, or the society, in general.</w:t>
      </w:r>
    </w:p>
    <w:p w14:paraId="241E04E4" w14:textId="25B8B8C9" w:rsidR="003F3EB2" w:rsidRPr="00346D7D" w:rsidRDefault="003F3EB2" w:rsidP="00346D7D">
      <w:pPr>
        <w:pStyle w:val="NormalWeb"/>
        <w:spacing w:line="480" w:lineRule="auto"/>
        <w:rPr>
          <w:b/>
          <w:bCs/>
        </w:rPr>
      </w:pPr>
      <w:r w:rsidRPr="00346D7D">
        <w:rPr>
          <w:b/>
          <w:bCs/>
        </w:rPr>
        <w:t>Employee Development Strategies.</w:t>
      </w:r>
    </w:p>
    <w:p w14:paraId="2EAE603E" w14:textId="77777777" w:rsidR="003F3EB2" w:rsidRPr="00346D7D" w:rsidRDefault="003F3EB2" w:rsidP="00346D7D">
      <w:pPr>
        <w:pStyle w:val="NormalWeb"/>
        <w:spacing w:line="480" w:lineRule="auto"/>
        <w:ind w:firstLine="720"/>
      </w:pPr>
      <w:r w:rsidRPr="00346D7D">
        <w:t xml:space="preserve">AstraZeneca focuses on employee growth by means of systematic learning systems and practical training. The experiential learning cycle outlined by Kolb (1984) – concrete experience, reflective observation, abstract </w:t>
      </w:r>
      <w:proofErr w:type="spellStart"/>
      <w:r w:rsidRPr="00346D7D">
        <w:t>conceptualisation</w:t>
      </w:r>
      <w:proofErr w:type="spellEnd"/>
      <w:r w:rsidRPr="00346D7D">
        <w:t xml:space="preserve">, and active experimentation – provides the basis of any leadership development </w:t>
      </w:r>
      <w:proofErr w:type="spellStart"/>
      <w:r w:rsidRPr="00346D7D">
        <w:t>programme</w:t>
      </w:r>
      <w:proofErr w:type="spellEnd"/>
      <w:r w:rsidRPr="00346D7D">
        <w:t xml:space="preserve"> and provokes reflective thinking and continuous </w:t>
      </w:r>
      <w:r w:rsidRPr="00346D7D">
        <w:lastRenderedPageBreak/>
        <w:t xml:space="preserve">learning. Action learning complements this by being a strategy employed in global leadership </w:t>
      </w:r>
      <w:proofErr w:type="spellStart"/>
      <w:r w:rsidRPr="00346D7D">
        <w:t>programmes</w:t>
      </w:r>
      <w:proofErr w:type="spellEnd"/>
      <w:r w:rsidRPr="00346D7D">
        <w:t xml:space="preserve"> at AstraZeneca to enable teams to solve live challenges as they build individual capability (Mullins, 2016). </w:t>
      </w:r>
      <w:proofErr w:type="spellStart"/>
      <w:r w:rsidRPr="00346D7D">
        <w:t>Organised</w:t>
      </w:r>
      <w:proofErr w:type="spellEnd"/>
      <w:r w:rsidRPr="00346D7D">
        <w:t xml:space="preserve"> </w:t>
      </w:r>
      <w:proofErr w:type="spellStart"/>
      <w:r w:rsidRPr="00346D7D">
        <w:t>programmes</w:t>
      </w:r>
      <w:proofErr w:type="spellEnd"/>
      <w:r w:rsidRPr="00346D7D">
        <w:t xml:space="preserve"> are the Graduate </w:t>
      </w:r>
      <w:proofErr w:type="spellStart"/>
      <w:r w:rsidRPr="00346D7D">
        <w:t>Programme</w:t>
      </w:r>
      <w:proofErr w:type="spellEnd"/>
      <w:r w:rsidRPr="00346D7D">
        <w:t xml:space="preserve">, AZ Talent Acceleration, and the AstraZeneca Academy, which provides </w:t>
      </w:r>
      <w:proofErr w:type="spellStart"/>
      <w:r w:rsidRPr="00346D7D">
        <w:t>customised</w:t>
      </w:r>
      <w:proofErr w:type="spellEnd"/>
      <w:r w:rsidRPr="00346D7D">
        <w:t xml:space="preserve"> learning in positions, regions, and career levels. And lastly, AstraZeneca has Investors in People (2023) Gold Accreditation, which shows the company's focus on matching learning with performance and engagement. Managerial roles are integrated with coaching and mentoring, which contribute to high-potential and under-represented populations. These </w:t>
      </w:r>
      <w:proofErr w:type="spellStart"/>
      <w:r w:rsidRPr="00346D7D">
        <w:t>programmes</w:t>
      </w:r>
      <w:proofErr w:type="spellEnd"/>
      <w:r w:rsidRPr="00346D7D">
        <w:t xml:space="preserve"> are part of AstraZeneca's strategy of developing future leaders internally as part of </w:t>
      </w:r>
      <w:proofErr w:type="spellStart"/>
      <w:r w:rsidRPr="00346D7D">
        <w:t>minimising</w:t>
      </w:r>
      <w:proofErr w:type="spellEnd"/>
      <w:r w:rsidRPr="00346D7D">
        <w:t xml:space="preserve"> talent drain and improving agility. The company has high internal promotion rates, especially in strategic positions such as regulatory affairs, data science, and clinical development (AstraZeneca, 2023). Strategic innovation is closely linked to learning and development so that the employee development is relevant to the mission of the </w:t>
      </w:r>
      <w:proofErr w:type="spellStart"/>
      <w:r w:rsidRPr="00346D7D">
        <w:t>organisation</w:t>
      </w:r>
      <w:proofErr w:type="spellEnd"/>
      <w:r w:rsidRPr="00346D7D">
        <w:t xml:space="preserve"> to enhance scientific breakthroughs. AstraZeneca is retaining talent and ensuring that its workforce is ready to address emerging global healthcare needs by promoting a climate of lifelong learning and self-leadership.</w:t>
      </w:r>
    </w:p>
    <w:p w14:paraId="72AEF3F3" w14:textId="769AA4FF" w:rsidR="003F3EB2" w:rsidRPr="00346D7D" w:rsidRDefault="003F3EB2" w:rsidP="00346D7D">
      <w:pPr>
        <w:pStyle w:val="NormalWeb"/>
        <w:spacing w:line="480" w:lineRule="auto"/>
        <w:rPr>
          <w:b/>
          <w:bCs/>
        </w:rPr>
      </w:pPr>
      <w:r w:rsidRPr="00346D7D">
        <w:rPr>
          <w:b/>
          <w:bCs/>
        </w:rPr>
        <w:t>Application of EDI and diversity of teams.</w:t>
      </w:r>
    </w:p>
    <w:p w14:paraId="3CB41B3C" w14:textId="358A57C1" w:rsidR="00335383" w:rsidRPr="00346D7D" w:rsidRDefault="003F3EB2" w:rsidP="00346D7D">
      <w:pPr>
        <w:pStyle w:val="NormalWeb"/>
        <w:spacing w:line="480" w:lineRule="auto"/>
        <w:ind w:firstLine="720"/>
      </w:pPr>
      <w:r w:rsidRPr="00346D7D">
        <w:t xml:space="preserve">AstraZeneca values Equity, Diversity, and Inclusion (EDI), and it becomes embedded into company culture and governance. By 2023, 49.5% of all management positions in the world are in women's hands, and intentions to make the management structure more minority inclusive at all levels are expressed (AstraZeneca, 2023). The Social Identity Theory by Tajfel and Turner (1986) justifies an emphasis on inclusive identity development in the case of AstraZeneca: by promoting a sense of belonging, the </w:t>
      </w:r>
      <w:proofErr w:type="spellStart"/>
      <w:r w:rsidRPr="00346D7D">
        <w:t>organisation</w:t>
      </w:r>
      <w:proofErr w:type="spellEnd"/>
      <w:r w:rsidRPr="00346D7D">
        <w:t xml:space="preserve"> promotes engagement and loyalty. In global </w:t>
      </w:r>
      <w:r w:rsidRPr="00346D7D">
        <w:lastRenderedPageBreak/>
        <w:t xml:space="preserve">project groups, team roles are applied to create balanced groups with varied cognitive styles to enhance creativity and cooperation (Mullins, 2016). To support AstraZeneca employees, there are several employee resource communities, including </w:t>
      </w:r>
      <w:proofErr w:type="spellStart"/>
      <w:r w:rsidRPr="00346D7D">
        <w:t>Women@AZ</w:t>
      </w:r>
      <w:proofErr w:type="spellEnd"/>
      <w:r w:rsidRPr="00346D7D">
        <w:t xml:space="preserve">, </w:t>
      </w:r>
      <w:proofErr w:type="spellStart"/>
      <w:r w:rsidRPr="00346D7D">
        <w:t>AZPride</w:t>
      </w:r>
      <w:proofErr w:type="spellEnd"/>
      <w:r w:rsidRPr="00346D7D">
        <w:t xml:space="preserve"> (LGBTQ+), and cultural affinity networks. All managers are required to undergo diversity and bias training, which is aided by online learning opportunities through the global learning portal of the company. According to CIPD (2023), one of the models of inclusive practices is AstraZeneca. The effects of these initiatives on </w:t>
      </w:r>
      <w:proofErr w:type="spellStart"/>
      <w:r w:rsidRPr="00346D7D">
        <w:t>organisational</w:t>
      </w:r>
      <w:proofErr w:type="spellEnd"/>
      <w:r w:rsidRPr="00346D7D">
        <w:t xml:space="preserve"> performance are enhanced psychological safety, </w:t>
      </w:r>
      <w:proofErr w:type="spellStart"/>
      <w:r w:rsidRPr="00346D7D">
        <w:t>minimised</w:t>
      </w:r>
      <w:proofErr w:type="spellEnd"/>
      <w:r w:rsidRPr="00346D7D">
        <w:t xml:space="preserve"> attrition, and increased innovation based on cognitive and cultural diversity. In addition, the inclusive </w:t>
      </w:r>
      <w:proofErr w:type="spellStart"/>
      <w:r w:rsidRPr="00346D7D">
        <w:t>behaviour</w:t>
      </w:r>
      <w:proofErr w:type="spellEnd"/>
      <w:r w:rsidRPr="00346D7D">
        <w:t xml:space="preserve"> of AstraZeneca promotes its growth into the emerging markets, where cultural sensitivity is crucial</w:t>
      </w:r>
      <w:r w:rsidR="00C21530" w:rsidRPr="00346D7D">
        <w:t xml:space="preserve"> (</w:t>
      </w:r>
      <w:r w:rsidR="00C21530" w:rsidRPr="002836DA">
        <w:t>Arteta</w:t>
      </w:r>
      <w:r w:rsidR="00C21530" w:rsidRPr="00346D7D">
        <w:t xml:space="preserve"> et al.</w:t>
      </w:r>
      <w:r w:rsidR="00C21530" w:rsidRPr="002836DA">
        <w:t>, 2025</w:t>
      </w:r>
      <w:r w:rsidR="00C21530" w:rsidRPr="00346D7D">
        <w:t>)</w:t>
      </w:r>
      <w:r w:rsidRPr="00346D7D">
        <w:t>. EDI is regarded as a strategic concern, rather than a compliance matter that helps in contributing to scientific excellence and ethical accountability. AstraZeneca employs 83,000 or more employees in 100 or more countries, and through the EDI strategy, the company is enabling talent of every kind to manage, flourish, and take the lead in their work.</w:t>
      </w:r>
    </w:p>
    <w:p w14:paraId="601A24ED" w14:textId="1785CB06" w:rsidR="00335383" w:rsidRPr="00335383" w:rsidRDefault="00335383" w:rsidP="00346D7D">
      <w:pPr>
        <w:spacing w:line="480" w:lineRule="auto"/>
        <w:rPr>
          <w:rFonts w:ascii="Times New Roman" w:hAnsi="Times New Roman" w:cs="Times New Roman"/>
          <w:b/>
          <w:bCs/>
        </w:rPr>
      </w:pPr>
      <w:proofErr w:type="spellStart"/>
      <w:r w:rsidRPr="00346D7D">
        <w:rPr>
          <w:rFonts w:ascii="Times New Roman" w:hAnsi="Times New Roman" w:cs="Times New Roman"/>
          <w:b/>
          <w:bCs/>
        </w:rPr>
        <w:t>O</w:t>
      </w:r>
      <w:r w:rsidRPr="00335383">
        <w:rPr>
          <w:rFonts w:ascii="Times New Roman" w:hAnsi="Times New Roman" w:cs="Times New Roman"/>
          <w:b/>
          <w:bCs/>
        </w:rPr>
        <w:t>rganisational</w:t>
      </w:r>
      <w:proofErr w:type="spellEnd"/>
      <w:r w:rsidRPr="00335383">
        <w:rPr>
          <w:rFonts w:ascii="Times New Roman" w:hAnsi="Times New Roman" w:cs="Times New Roman"/>
          <w:b/>
          <w:bCs/>
        </w:rPr>
        <w:t xml:space="preserve"> Change and Leadership in Change</w:t>
      </w:r>
    </w:p>
    <w:p w14:paraId="391AE158" w14:textId="40DC7FED" w:rsidR="00DA5CAE" w:rsidRPr="00346D7D" w:rsidRDefault="00DA5CAE" w:rsidP="00346D7D">
      <w:pPr>
        <w:pStyle w:val="NormalWeb"/>
        <w:spacing w:line="480" w:lineRule="auto"/>
        <w:ind w:firstLine="720"/>
      </w:pPr>
      <w:r w:rsidRPr="00346D7D">
        <w:t xml:space="preserve">AstraZeneca has recently experienced a series of strategic redefinitions, with its most recent being the acquisition of Alexion Pharmaceuticals to boost its rare disease franchise and a significant digital realignment and shift to sustainability leadership (AstraZeneca, 2023). These changes are also very in line with the 8-Step Change Model by Kotter (1996). The need to be innovative was accelerated by the COVID-19 pandemic, which led to a rush to coordinate around vaccine development. AstraZeneca has used this momentum to achieve a short-term victory by rolling out the vaccines fast, which strengthens trust and fuels wider change. The </w:t>
      </w:r>
      <w:r w:rsidRPr="00346D7D">
        <w:lastRenderedPageBreak/>
        <w:t xml:space="preserve">Change Model of Lewin (1947) can also be observed in its systematic communication approach, alignment of stakeholders, and reintegration of new </w:t>
      </w:r>
      <w:proofErr w:type="spellStart"/>
      <w:r w:rsidRPr="00346D7D">
        <w:t>behaviours</w:t>
      </w:r>
      <w:proofErr w:type="spellEnd"/>
      <w:r w:rsidRPr="00346D7D">
        <w:t xml:space="preserve"> after the crisis: </w:t>
      </w:r>
      <w:r w:rsidRPr="00346D7D">
        <w:rPr>
          <w:i/>
          <w:iCs/>
        </w:rPr>
        <w:t>Unfreeze, Change, and Refreeze</w:t>
      </w:r>
      <w:r w:rsidRPr="00346D7D">
        <w:t>. The managers were instrumental in terms of crafting an attractive vision, including their Net Zero goals and a digital R&amp;D acceleration (Investors in People, 2023). Significantly, there were bottom-up elements of sustainability working groups which involved employees in the changes. Nevertheless, there were difficulties, in low-change-tolerant areas especially, where the pace of adjustment to new sustainability and digital tools trailed</w:t>
      </w:r>
      <w:r w:rsidR="00C21530" w:rsidRPr="00346D7D">
        <w:t xml:space="preserve"> (</w:t>
      </w:r>
      <w:r w:rsidR="00C21530" w:rsidRPr="002836DA">
        <w:t>Thorne, 2021</w:t>
      </w:r>
      <w:r w:rsidR="00C21530" w:rsidRPr="00346D7D">
        <w:t>)</w:t>
      </w:r>
      <w:r w:rsidRPr="00346D7D">
        <w:t xml:space="preserve">. </w:t>
      </w:r>
      <w:proofErr w:type="gramStart"/>
      <w:r w:rsidRPr="00346D7D">
        <w:t>Also</w:t>
      </w:r>
      <w:proofErr w:type="gramEnd"/>
      <w:r w:rsidRPr="00346D7D">
        <w:t xml:space="preserve"> AstraZeneca had to work through the contradiction between the global goals of transformation and the local implementation capability, where </w:t>
      </w:r>
      <w:proofErr w:type="spellStart"/>
      <w:r w:rsidRPr="00346D7D">
        <w:t>standardisation</w:t>
      </w:r>
      <w:proofErr w:type="spellEnd"/>
      <w:r w:rsidRPr="00346D7D">
        <w:t xml:space="preserve"> and flexibility had to be carefully balanced. Resistance was mitigated with the use of change champions and regional leadership</w:t>
      </w:r>
      <w:r w:rsidR="00C21530" w:rsidRPr="00346D7D">
        <w:t xml:space="preserve"> (</w:t>
      </w:r>
      <w:r w:rsidR="00C21530" w:rsidRPr="002836DA">
        <w:t>Aliekperova,</w:t>
      </w:r>
      <w:r w:rsidR="00C21530" w:rsidRPr="00346D7D">
        <w:t xml:space="preserve"> </w:t>
      </w:r>
      <w:r w:rsidR="00C21530" w:rsidRPr="002836DA">
        <w:t>2025</w:t>
      </w:r>
      <w:r w:rsidR="00C21530" w:rsidRPr="00346D7D">
        <w:t>)</w:t>
      </w:r>
      <w:r w:rsidRPr="00346D7D">
        <w:t>. The success of change in AstraZeneca is that it integrates systematic structures, leadership, and readiness to cultural change, which reinforced its image of a flexible, value-driven international company. By incorporating the OB-informed change strategies into the company, the company can keep track of its evolution, which is both staff-focused and strategically sustainable (Kotter, 1996; Lewin, 1947; Schein, 2017).</w:t>
      </w:r>
    </w:p>
    <w:p w14:paraId="5743B5CC" w14:textId="77777777" w:rsidR="00DA5CAE" w:rsidRPr="00346D7D" w:rsidRDefault="00DA5CAE" w:rsidP="00346D7D">
      <w:pPr>
        <w:pStyle w:val="NormalWeb"/>
        <w:spacing w:line="480" w:lineRule="auto"/>
        <w:rPr>
          <w:b/>
          <w:bCs/>
        </w:rPr>
      </w:pPr>
      <w:r w:rsidRPr="00346D7D">
        <w:rPr>
          <w:b/>
          <w:bCs/>
        </w:rPr>
        <w:t>Conclusion</w:t>
      </w:r>
    </w:p>
    <w:p w14:paraId="5BA2423A" w14:textId="36A9B960" w:rsidR="00DA5CAE" w:rsidRPr="00346D7D" w:rsidRDefault="000B01EB" w:rsidP="00346D7D">
      <w:pPr>
        <w:pStyle w:val="NormalWeb"/>
        <w:spacing w:line="480" w:lineRule="auto"/>
        <w:ind w:firstLine="720"/>
      </w:pPr>
      <w:r w:rsidRPr="000B01EB">
        <w:t xml:space="preserve">The success of </w:t>
      </w:r>
      <w:proofErr w:type="spellStart"/>
      <w:r w:rsidRPr="000B01EB">
        <w:t>organisational</w:t>
      </w:r>
      <w:proofErr w:type="spellEnd"/>
      <w:r w:rsidRPr="000B01EB">
        <w:t xml:space="preserve"> </w:t>
      </w:r>
      <w:proofErr w:type="spellStart"/>
      <w:r w:rsidRPr="000B01EB">
        <w:t>behaviour</w:t>
      </w:r>
      <w:proofErr w:type="spellEnd"/>
      <w:r w:rsidRPr="000B01EB">
        <w:t xml:space="preserve"> concepts at AstraZeneca is strategic because they enable the </w:t>
      </w:r>
      <w:proofErr w:type="spellStart"/>
      <w:r w:rsidRPr="000B01EB">
        <w:t>organisation</w:t>
      </w:r>
      <w:proofErr w:type="spellEnd"/>
      <w:r w:rsidRPr="000B01EB">
        <w:t xml:space="preserve"> to align people, culture and leadership with long term performance. The theory of motivation (Herzberg, Vroom), cultural theories (Schein, Handy), and leadership theories (Kotter, Blake and Mouton) shows that there is an organized and calculated approach in how it manages its international workforce. Talent development to achieve innovation objectives is encouraged by its cross-functional staffing, made easy through its matrix and its people </w:t>
      </w:r>
      <w:r w:rsidRPr="000B01EB">
        <w:lastRenderedPageBreak/>
        <w:t xml:space="preserve">development schemes supported by Investors in People standards. The willingness to embrace inclusive culture and EDI, which is a priority in multiple markets, also contributes to engagement and ethical leadership that AstraZeneca takes seriously (Gautam, 2022). In addition, the capability of the firm to manage major change, including M&amp;A, </w:t>
      </w:r>
      <w:proofErr w:type="spellStart"/>
      <w:r w:rsidRPr="000B01EB">
        <w:t>digitalisation</w:t>
      </w:r>
      <w:proofErr w:type="spellEnd"/>
      <w:r w:rsidRPr="000B01EB">
        <w:t xml:space="preserve">, and sustainability, also reflects a certain degree of maturity in incorporating change models in leadership practices. </w:t>
      </w:r>
      <w:r w:rsidR="00DA5CAE" w:rsidRPr="00346D7D">
        <w:t xml:space="preserve">These reflections reinforce the point that AstraZeneca applies not only the OB theory as a conceptual framework to achieve better </w:t>
      </w:r>
      <w:proofErr w:type="spellStart"/>
      <w:r w:rsidR="00DA5CAE" w:rsidRPr="00346D7D">
        <w:t>organisational</w:t>
      </w:r>
      <w:proofErr w:type="spellEnd"/>
      <w:r w:rsidR="00DA5CAE" w:rsidRPr="00346D7D">
        <w:t xml:space="preserve"> results but also as a practical instrument. </w:t>
      </w:r>
    </w:p>
    <w:p w14:paraId="232C5BA6" w14:textId="77777777" w:rsidR="009159DA" w:rsidRPr="00346D7D" w:rsidRDefault="009159DA" w:rsidP="00346D7D">
      <w:pPr>
        <w:spacing w:line="480" w:lineRule="auto"/>
        <w:rPr>
          <w:rFonts w:ascii="Times New Roman" w:hAnsi="Times New Roman" w:cs="Times New Roman"/>
        </w:rPr>
      </w:pPr>
    </w:p>
    <w:p w14:paraId="78AB0A92" w14:textId="77777777" w:rsidR="003623A8" w:rsidRPr="00346D7D" w:rsidRDefault="003623A8" w:rsidP="00346D7D">
      <w:pPr>
        <w:spacing w:line="480" w:lineRule="auto"/>
        <w:rPr>
          <w:rFonts w:ascii="Times New Roman" w:hAnsi="Times New Roman" w:cs="Times New Roman"/>
        </w:rPr>
      </w:pPr>
    </w:p>
    <w:p w14:paraId="02F4CD59" w14:textId="77777777" w:rsidR="00C21530" w:rsidRDefault="00C21530" w:rsidP="00346D7D">
      <w:pPr>
        <w:spacing w:line="480" w:lineRule="auto"/>
        <w:rPr>
          <w:rFonts w:ascii="Times New Roman" w:hAnsi="Times New Roman" w:cs="Times New Roman"/>
        </w:rPr>
      </w:pPr>
    </w:p>
    <w:p w14:paraId="1808C8B5" w14:textId="77777777" w:rsidR="000B01EB" w:rsidRDefault="000B01EB" w:rsidP="00346D7D">
      <w:pPr>
        <w:spacing w:line="480" w:lineRule="auto"/>
        <w:rPr>
          <w:rFonts w:ascii="Times New Roman" w:hAnsi="Times New Roman" w:cs="Times New Roman"/>
        </w:rPr>
      </w:pPr>
    </w:p>
    <w:p w14:paraId="74B714BD" w14:textId="77777777" w:rsidR="000B01EB" w:rsidRDefault="000B01EB" w:rsidP="00346D7D">
      <w:pPr>
        <w:spacing w:line="480" w:lineRule="auto"/>
        <w:rPr>
          <w:rFonts w:ascii="Times New Roman" w:hAnsi="Times New Roman" w:cs="Times New Roman"/>
        </w:rPr>
      </w:pPr>
    </w:p>
    <w:p w14:paraId="55FEE119" w14:textId="77777777" w:rsidR="000B01EB" w:rsidRDefault="000B01EB" w:rsidP="00346D7D">
      <w:pPr>
        <w:spacing w:line="480" w:lineRule="auto"/>
        <w:rPr>
          <w:rFonts w:ascii="Times New Roman" w:hAnsi="Times New Roman" w:cs="Times New Roman"/>
        </w:rPr>
      </w:pPr>
    </w:p>
    <w:p w14:paraId="79789415" w14:textId="77777777" w:rsidR="000B01EB" w:rsidRDefault="000B01EB" w:rsidP="00346D7D">
      <w:pPr>
        <w:spacing w:line="480" w:lineRule="auto"/>
        <w:rPr>
          <w:rFonts w:ascii="Times New Roman" w:hAnsi="Times New Roman" w:cs="Times New Roman"/>
        </w:rPr>
      </w:pPr>
    </w:p>
    <w:p w14:paraId="2361E59E" w14:textId="77777777" w:rsidR="000B01EB" w:rsidRDefault="000B01EB" w:rsidP="00346D7D">
      <w:pPr>
        <w:spacing w:line="480" w:lineRule="auto"/>
        <w:rPr>
          <w:rFonts w:ascii="Times New Roman" w:hAnsi="Times New Roman" w:cs="Times New Roman"/>
        </w:rPr>
      </w:pPr>
    </w:p>
    <w:p w14:paraId="499E0D00" w14:textId="77777777" w:rsidR="000B01EB" w:rsidRDefault="000B01EB" w:rsidP="00346D7D">
      <w:pPr>
        <w:spacing w:line="480" w:lineRule="auto"/>
        <w:rPr>
          <w:rFonts w:ascii="Times New Roman" w:hAnsi="Times New Roman" w:cs="Times New Roman"/>
        </w:rPr>
      </w:pPr>
    </w:p>
    <w:p w14:paraId="060CDBCD" w14:textId="77777777" w:rsidR="000B01EB" w:rsidRDefault="000B01EB" w:rsidP="00346D7D">
      <w:pPr>
        <w:spacing w:line="480" w:lineRule="auto"/>
        <w:rPr>
          <w:rFonts w:ascii="Times New Roman" w:hAnsi="Times New Roman" w:cs="Times New Roman"/>
        </w:rPr>
      </w:pPr>
    </w:p>
    <w:p w14:paraId="6249B0CF" w14:textId="77777777" w:rsidR="000B01EB" w:rsidRPr="00346D7D" w:rsidRDefault="000B01EB" w:rsidP="00346D7D">
      <w:pPr>
        <w:spacing w:line="480" w:lineRule="auto"/>
        <w:rPr>
          <w:rFonts w:ascii="Times New Roman" w:hAnsi="Times New Roman" w:cs="Times New Roman"/>
        </w:rPr>
      </w:pPr>
    </w:p>
    <w:p w14:paraId="54147363" w14:textId="77777777" w:rsidR="00C21530" w:rsidRPr="00346D7D" w:rsidRDefault="00C21530" w:rsidP="00346D7D">
      <w:pPr>
        <w:spacing w:line="480" w:lineRule="auto"/>
        <w:rPr>
          <w:rFonts w:ascii="Times New Roman" w:hAnsi="Times New Roman" w:cs="Times New Roman"/>
        </w:rPr>
      </w:pPr>
    </w:p>
    <w:p w14:paraId="14A886A9" w14:textId="7CA7F0B7" w:rsidR="008D2EA0" w:rsidRPr="00346D7D" w:rsidRDefault="003623A8" w:rsidP="00346D7D">
      <w:pPr>
        <w:spacing w:line="480" w:lineRule="auto"/>
        <w:jc w:val="center"/>
        <w:rPr>
          <w:rFonts w:ascii="Times New Roman" w:hAnsi="Times New Roman" w:cs="Times New Roman"/>
          <w:b/>
          <w:bCs/>
        </w:rPr>
      </w:pPr>
      <w:r w:rsidRPr="003623A8">
        <w:rPr>
          <w:rFonts w:ascii="Times New Roman" w:hAnsi="Times New Roman" w:cs="Times New Roman"/>
          <w:b/>
          <w:bCs/>
        </w:rPr>
        <w:lastRenderedPageBreak/>
        <w:t>Reference</w:t>
      </w:r>
      <w:r w:rsidRPr="00346D7D">
        <w:rPr>
          <w:rFonts w:ascii="Times New Roman" w:hAnsi="Times New Roman" w:cs="Times New Roman"/>
          <w:b/>
          <w:bCs/>
        </w:rPr>
        <w:t xml:space="preserve"> List</w:t>
      </w:r>
    </w:p>
    <w:p w14:paraId="2E0E31BB" w14:textId="77777777" w:rsidR="00C21530" w:rsidRPr="002836DA" w:rsidRDefault="00C21530" w:rsidP="00346D7D">
      <w:pPr>
        <w:spacing w:line="480" w:lineRule="auto"/>
        <w:ind w:left="720" w:hanging="720"/>
        <w:rPr>
          <w:rFonts w:ascii="Times New Roman" w:hAnsi="Times New Roman" w:cs="Times New Roman"/>
        </w:rPr>
      </w:pPr>
      <w:proofErr w:type="spellStart"/>
      <w:r w:rsidRPr="002836DA">
        <w:rPr>
          <w:rFonts w:ascii="Times New Roman" w:hAnsi="Times New Roman" w:cs="Times New Roman"/>
        </w:rPr>
        <w:t>Adeusi</w:t>
      </w:r>
      <w:proofErr w:type="spellEnd"/>
      <w:r w:rsidRPr="002836DA">
        <w:rPr>
          <w:rFonts w:ascii="Times New Roman" w:hAnsi="Times New Roman" w:cs="Times New Roman"/>
        </w:rPr>
        <w:t xml:space="preserve">, S.O., 2011. Pharmaceutical R&amp;D: An organizational design approach to enhancing productivity. Massachusetts Institute of Technology. Available at: </w:t>
      </w:r>
      <w:hyperlink r:id="rId7" w:history="1">
        <w:r w:rsidRPr="002836DA">
          <w:rPr>
            <w:rStyle w:val="Hyperlink"/>
            <w:rFonts w:ascii="Times New Roman" w:hAnsi="Times New Roman" w:cs="Times New Roman"/>
          </w:rPr>
          <w:t>https://dspace.mit.edu/bitstream/handle/1721.1/65794/750001856-MIT.pdf</w:t>
        </w:r>
      </w:hyperlink>
      <w:r w:rsidRPr="002836DA">
        <w:rPr>
          <w:rFonts w:ascii="Times New Roman" w:hAnsi="Times New Roman" w:cs="Times New Roman"/>
        </w:rPr>
        <w:t xml:space="preserve"> [Accessed 2 Dec. 2025].</w:t>
      </w:r>
    </w:p>
    <w:p w14:paraId="7196AFEB" w14:textId="77777777" w:rsidR="00C21530" w:rsidRPr="002836DA" w:rsidRDefault="00C21530" w:rsidP="00346D7D">
      <w:pPr>
        <w:spacing w:line="480" w:lineRule="auto"/>
        <w:ind w:left="720" w:hanging="720"/>
        <w:rPr>
          <w:rFonts w:ascii="Times New Roman" w:hAnsi="Times New Roman" w:cs="Times New Roman"/>
        </w:rPr>
      </w:pPr>
      <w:proofErr w:type="spellStart"/>
      <w:r w:rsidRPr="002836DA">
        <w:rPr>
          <w:rFonts w:ascii="Times New Roman" w:hAnsi="Times New Roman" w:cs="Times New Roman"/>
        </w:rPr>
        <w:t>Aliekperova</w:t>
      </w:r>
      <w:proofErr w:type="spellEnd"/>
      <w:r w:rsidRPr="002836DA">
        <w:rPr>
          <w:rFonts w:ascii="Times New Roman" w:hAnsi="Times New Roman" w:cs="Times New Roman"/>
        </w:rPr>
        <w:t xml:space="preserve">, N., 2025. Leadership in the pharmaceutical industry: From theory to practice. London: Routledge. Available at: </w:t>
      </w:r>
      <w:hyperlink r:id="rId8" w:history="1">
        <w:r w:rsidRPr="002836DA">
          <w:rPr>
            <w:rStyle w:val="Hyperlink"/>
            <w:rFonts w:ascii="Times New Roman" w:hAnsi="Times New Roman" w:cs="Times New Roman"/>
          </w:rPr>
          <w:t>https://www.researchgate.net/publication/390678052_Leadership_in_the_Pharmaceutical_Industry_From_Theory_to_Practice</w:t>
        </w:r>
      </w:hyperlink>
      <w:r w:rsidRPr="002836DA">
        <w:rPr>
          <w:rFonts w:ascii="Times New Roman" w:hAnsi="Times New Roman" w:cs="Times New Roman"/>
        </w:rPr>
        <w:t xml:space="preserve"> [Accessed 2 Dec. 2025].</w:t>
      </w:r>
    </w:p>
    <w:p w14:paraId="3CE7B42C" w14:textId="77777777" w:rsidR="00C21530" w:rsidRPr="002836DA" w:rsidRDefault="00C21530" w:rsidP="00346D7D">
      <w:pPr>
        <w:spacing w:line="480" w:lineRule="auto"/>
        <w:ind w:left="720" w:hanging="720"/>
        <w:rPr>
          <w:rFonts w:ascii="Times New Roman" w:hAnsi="Times New Roman" w:cs="Times New Roman"/>
        </w:rPr>
      </w:pPr>
      <w:r w:rsidRPr="002836DA">
        <w:rPr>
          <w:rFonts w:ascii="Times New Roman" w:hAnsi="Times New Roman" w:cs="Times New Roman"/>
        </w:rPr>
        <w:t xml:space="preserve">Arteta, M.Y., Zhou, L., </w:t>
      </w:r>
      <w:proofErr w:type="spellStart"/>
      <w:r w:rsidRPr="002836DA">
        <w:rPr>
          <w:rFonts w:ascii="Times New Roman" w:hAnsi="Times New Roman" w:cs="Times New Roman"/>
        </w:rPr>
        <w:t>Tehler</w:t>
      </w:r>
      <w:proofErr w:type="spellEnd"/>
      <w:r w:rsidRPr="002836DA">
        <w:rPr>
          <w:rFonts w:ascii="Times New Roman" w:hAnsi="Times New Roman" w:cs="Times New Roman"/>
        </w:rPr>
        <w:t xml:space="preserve">, U. and Bak, A., 2025. World-wide-working-web: How to be successful on global teams. Journal of Pharmaceutical Sciences, [online] Available at: </w:t>
      </w:r>
      <w:hyperlink r:id="rId9" w:history="1">
        <w:r w:rsidRPr="002836DA">
          <w:rPr>
            <w:rStyle w:val="Hyperlink"/>
            <w:rFonts w:ascii="Times New Roman" w:hAnsi="Times New Roman" w:cs="Times New Roman"/>
          </w:rPr>
          <w:t>https://www.sciencedirect.com/science/article/pii/S0022354924003174</w:t>
        </w:r>
      </w:hyperlink>
      <w:r w:rsidRPr="002836DA">
        <w:rPr>
          <w:rFonts w:ascii="Times New Roman" w:hAnsi="Times New Roman" w:cs="Times New Roman"/>
        </w:rPr>
        <w:t xml:space="preserve"> [Accessed 2 Dec. 2025].</w:t>
      </w:r>
    </w:p>
    <w:p w14:paraId="1FF7C1BF" w14:textId="77777777" w:rsidR="00C21530" w:rsidRPr="008D2EA0" w:rsidRDefault="00C21530" w:rsidP="00346D7D">
      <w:pPr>
        <w:spacing w:line="480" w:lineRule="auto"/>
        <w:ind w:left="720" w:hanging="720"/>
        <w:rPr>
          <w:rFonts w:ascii="Times New Roman" w:hAnsi="Times New Roman" w:cs="Times New Roman"/>
        </w:rPr>
      </w:pPr>
      <w:r w:rsidRPr="008D2EA0">
        <w:rPr>
          <w:rFonts w:ascii="Times New Roman" w:hAnsi="Times New Roman" w:cs="Times New Roman"/>
        </w:rPr>
        <w:t xml:space="preserve">AstraZeneca, 2023. Annual Report and Sustainability Report 2023. [online] Available at: </w:t>
      </w:r>
      <w:hyperlink r:id="rId10" w:tgtFrame="_new" w:history="1">
        <w:r w:rsidRPr="008D2EA0">
          <w:rPr>
            <w:rStyle w:val="Hyperlink"/>
            <w:rFonts w:ascii="Times New Roman" w:hAnsi="Times New Roman" w:cs="Times New Roman"/>
          </w:rPr>
          <w:t>https://www.astrazeneca.com/investor-relations/annual-reports.html</w:t>
        </w:r>
      </w:hyperlink>
      <w:r w:rsidRPr="008D2EA0">
        <w:rPr>
          <w:rFonts w:ascii="Times New Roman" w:hAnsi="Times New Roman" w:cs="Times New Roman"/>
        </w:rPr>
        <w:t xml:space="preserve"> [Accessed 2 Dec. 2025].</w:t>
      </w:r>
    </w:p>
    <w:p w14:paraId="7ED073FB" w14:textId="77777777" w:rsidR="00C21530" w:rsidRPr="008D2EA0" w:rsidRDefault="00C21530" w:rsidP="00346D7D">
      <w:pPr>
        <w:spacing w:line="480" w:lineRule="auto"/>
        <w:ind w:left="720" w:hanging="720"/>
        <w:rPr>
          <w:rFonts w:ascii="Times New Roman" w:hAnsi="Times New Roman" w:cs="Times New Roman"/>
        </w:rPr>
      </w:pPr>
      <w:r w:rsidRPr="008D2EA0">
        <w:rPr>
          <w:rFonts w:ascii="Times New Roman" w:hAnsi="Times New Roman" w:cs="Times New Roman"/>
        </w:rPr>
        <w:t>Blake, R.R. and Mouton, J.S., 1964. The managerial grid: The key to leadership excellence. Houston: Gulf Publishing Company.</w:t>
      </w:r>
    </w:p>
    <w:p w14:paraId="1DFE5BD9" w14:textId="77777777" w:rsidR="00C21530" w:rsidRPr="003623A8" w:rsidRDefault="00C21530" w:rsidP="00346D7D">
      <w:pPr>
        <w:spacing w:line="480" w:lineRule="auto"/>
        <w:ind w:left="720" w:hanging="720"/>
        <w:rPr>
          <w:rFonts w:ascii="Times New Roman" w:hAnsi="Times New Roman" w:cs="Times New Roman"/>
        </w:rPr>
      </w:pPr>
      <w:r w:rsidRPr="003623A8">
        <w:rPr>
          <w:rFonts w:ascii="Times New Roman" w:hAnsi="Times New Roman" w:cs="Times New Roman"/>
        </w:rPr>
        <w:t xml:space="preserve">CIPD, 2023. Equity, diversity and inclusion in the workplace. [online] London: Chartered Institute of Personnel and Development. </w:t>
      </w:r>
      <w:hyperlink r:id="rId11" w:tgtFrame="_new" w:history="1">
        <w:r w:rsidRPr="003623A8">
          <w:rPr>
            <w:rStyle w:val="Hyperlink"/>
            <w:rFonts w:ascii="Times New Roman" w:hAnsi="Times New Roman" w:cs="Times New Roman"/>
          </w:rPr>
          <w:t>https://www.cipd.org/uk/knowledge/factsheets/diversity-factsheet/</w:t>
        </w:r>
      </w:hyperlink>
      <w:r w:rsidRPr="003623A8">
        <w:rPr>
          <w:rFonts w:ascii="Times New Roman" w:hAnsi="Times New Roman" w:cs="Times New Roman"/>
        </w:rPr>
        <w:t xml:space="preserve"> </w:t>
      </w:r>
    </w:p>
    <w:p w14:paraId="42164A74" w14:textId="77777777" w:rsidR="00C21530" w:rsidRPr="008D2EA0" w:rsidRDefault="00C21530" w:rsidP="00346D7D">
      <w:pPr>
        <w:spacing w:line="480" w:lineRule="auto"/>
        <w:ind w:left="720" w:hanging="720"/>
        <w:rPr>
          <w:rFonts w:ascii="Times New Roman" w:hAnsi="Times New Roman" w:cs="Times New Roman"/>
        </w:rPr>
      </w:pPr>
      <w:r w:rsidRPr="008D2EA0">
        <w:rPr>
          <w:rFonts w:ascii="Times New Roman" w:hAnsi="Times New Roman" w:cs="Times New Roman"/>
        </w:rPr>
        <w:lastRenderedPageBreak/>
        <w:t>French, J.R.P. and Raven, B., 1959. The bases of social power. In: D. Cartwright, ed., Studies in social power. Ann Arbor: University of Michigan, pp.150–167.</w:t>
      </w:r>
    </w:p>
    <w:p w14:paraId="6C332DF0" w14:textId="77777777" w:rsidR="00C21530" w:rsidRPr="00346D7D" w:rsidRDefault="00C21530" w:rsidP="00346D7D">
      <w:pPr>
        <w:spacing w:line="480" w:lineRule="auto"/>
        <w:ind w:left="720" w:hanging="720"/>
        <w:rPr>
          <w:rFonts w:ascii="Times New Roman" w:hAnsi="Times New Roman" w:cs="Times New Roman"/>
        </w:rPr>
      </w:pPr>
      <w:r w:rsidRPr="00346D7D">
        <w:rPr>
          <w:rFonts w:ascii="Times New Roman" w:hAnsi="Times New Roman" w:cs="Times New Roman"/>
        </w:rPr>
        <w:t>Gautam, P.K., 2022. Organizational culture integration initiation in merger and acquisition, changing work culture and employees’ work behavior. </w:t>
      </w:r>
      <w:r w:rsidRPr="00346D7D">
        <w:rPr>
          <w:rFonts w:ascii="Times New Roman" w:hAnsi="Times New Roman" w:cs="Times New Roman"/>
          <w:i/>
          <w:iCs/>
        </w:rPr>
        <w:t>The Batuk</w:t>
      </w:r>
      <w:r w:rsidRPr="00346D7D">
        <w:rPr>
          <w:rFonts w:ascii="Times New Roman" w:hAnsi="Times New Roman" w:cs="Times New Roman"/>
        </w:rPr>
        <w:t>, </w:t>
      </w:r>
      <w:r w:rsidRPr="00346D7D">
        <w:rPr>
          <w:rFonts w:ascii="Times New Roman" w:hAnsi="Times New Roman" w:cs="Times New Roman"/>
          <w:i/>
          <w:iCs/>
        </w:rPr>
        <w:t>8</w:t>
      </w:r>
      <w:r w:rsidRPr="00346D7D">
        <w:rPr>
          <w:rFonts w:ascii="Times New Roman" w:hAnsi="Times New Roman" w:cs="Times New Roman"/>
        </w:rPr>
        <w:t xml:space="preserve">(1), pp.16-30. </w:t>
      </w:r>
      <w:hyperlink r:id="rId12" w:history="1">
        <w:r w:rsidRPr="00346D7D">
          <w:rPr>
            <w:rStyle w:val="Hyperlink"/>
            <w:rFonts w:ascii="Times New Roman" w:hAnsi="Times New Roman" w:cs="Times New Roman"/>
          </w:rPr>
          <w:t>https://nepjol.info/index.php/batuk/article/view/43507</w:t>
        </w:r>
      </w:hyperlink>
      <w:r w:rsidRPr="00346D7D">
        <w:rPr>
          <w:rFonts w:ascii="Times New Roman" w:hAnsi="Times New Roman" w:cs="Times New Roman"/>
        </w:rPr>
        <w:t xml:space="preserve"> </w:t>
      </w:r>
    </w:p>
    <w:p w14:paraId="02763C50" w14:textId="77777777" w:rsidR="00C21530" w:rsidRPr="008D2EA0" w:rsidRDefault="00C21530" w:rsidP="00346D7D">
      <w:pPr>
        <w:spacing w:line="480" w:lineRule="auto"/>
        <w:ind w:left="720" w:hanging="720"/>
        <w:rPr>
          <w:rFonts w:ascii="Times New Roman" w:hAnsi="Times New Roman" w:cs="Times New Roman"/>
        </w:rPr>
      </w:pPr>
      <w:r w:rsidRPr="008D2EA0">
        <w:rPr>
          <w:rFonts w:ascii="Times New Roman" w:hAnsi="Times New Roman" w:cs="Times New Roman"/>
        </w:rPr>
        <w:t>Handy, C., 1993. Understanding organizations. 4th ed. London: Penguin Books.</w:t>
      </w:r>
    </w:p>
    <w:p w14:paraId="0CF480BD" w14:textId="77777777" w:rsidR="00C21530" w:rsidRPr="008D2EA0" w:rsidRDefault="00C21530" w:rsidP="00346D7D">
      <w:pPr>
        <w:spacing w:line="480" w:lineRule="auto"/>
        <w:ind w:left="720" w:hanging="720"/>
        <w:rPr>
          <w:rFonts w:ascii="Times New Roman" w:hAnsi="Times New Roman" w:cs="Times New Roman"/>
        </w:rPr>
      </w:pPr>
      <w:r w:rsidRPr="008D2EA0">
        <w:rPr>
          <w:rFonts w:ascii="Times New Roman" w:hAnsi="Times New Roman" w:cs="Times New Roman"/>
        </w:rPr>
        <w:t>Herzberg, F., Mausner, B. and Snyderman, B.B., 1959. The motivation to work. 2nd ed. New York: John Wiley &amp; Sons.</w:t>
      </w:r>
    </w:p>
    <w:p w14:paraId="1AFB8491" w14:textId="77777777" w:rsidR="00C21530" w:rsidRPr="003623A8" w:rsidRDefault="00C21530" w:rsidP="00346D7D">
      <w:pPr>
        <w:spacing w:line="480" w:lineRule="auto"/>
        <w:ind w:left="720" w:hanging="720"/>
        <w:rPr>
          <w:rFonts w:ascii="Times New Roman" w:hAnsi="Times New Roman" w:cs="Times New Roman"/>
        </w:rPr>
      </w:pPr>
      <w:r w:rsidRPr="003623A8">
        <w:rPr>
          <w:rFonts w:ascii="Times New Roman" w:hAnsi="Times New Roman" w:cs="Times New Roman"/>
        </w:rPr>
        <w:t xml:space="preserve">Investors in People, 2023. Framework and accreditation standards. [online] London: Investors in People. </w:t>
      </w:r>
      <w:hyperlink r:id="rId13" w:tgtFrame="_new" w:history="1">
        <w:r w:rsidRPr="003623A8">
          <w:rPr>
            <w:rStyle w:val="Hyperlink"/>
            <w:rFonts w:ascii="Times New Roman" w:hAnsi="Times New Roman" w:cs="Times New Roman"/>
          </w:rPr>
          <w:t>https://www.investorsinpeople.com</w:t>
        </w:r>
      </w:hyperlink>
      <w:r w:rsidRPr="003623A8">
        <w:rPr>
          <w:rFonts w:ascii="Times New Roman" w:hAnsi="Times New Roman" w:cs="Times New Roman"/>
        </w:rPr>
        <w:t xml:space="preserve"> </w:t>
      </w:r>
    </w:p>
    <w:p w14:paraId="3E197819" w14:textId="77777777" w:rsidR="00C21530" w:rsidRPr="008D2EA0" w:rsidRDefault="00C21530" w:rsidP="00346D7D">
      <w:pPr>
        <w:spacing w:line="480" w:lineRule="auto"/>
        <w:ind w:left="720" w:hanging="720"/>
        <w:rPr>
          <w:rFonts w:ascii="Times New Roman" w:hAnsi="Times New Roman" w:cs="Times New Roman"/>
        </w:rPr>
      </w:pPr>
      <w:r w:rsidRPr="008D2EA0">
        <w:rPr>
          <w:rFonts w:ascii="Times New Roman" w:hAnsi="Times New Roman" w:cs="Times New Roman"/>
        </w:rPr>
        <w:t>Kolb, D.A., 1984. Experiential learning: Experience as the source of learning and development. Englewood Cliffs, NJ: Prentice Hall.</w:t>
      </w:r>
    </w:p>
    <w:p w14:paraId="722121F8" w14:textId="77777777" w:rsidR="00C21530" w:rsidRPr="008D2EA0" w:rsidRDefault="00C21530" w:rsidP="00346D7D">
      <w:pPr>
        <w:spacing w:line="480" w:lineRule="auto"/>
        <w:ind w:left="720" w:hanging="720"/>
        <w:rPr>
          <w:rFonts w:ascii="Times New Roman" w:hAnsi="Times New Roman" w:cs="Times New Roman"/>
        </w:rPr>
      </w:pPr>
      <w:r w:rsidRPr="008D2EA0">
        <w:rPr>
          <w:rFonts w:ascii="Times New Roman" w:hAnsi="Times New Roman" w:cs="Times New Roman"/>
        </w:rPr>
        <w:t>Kotter, J.P., 1996. Leading change. Boston: Harvard Business School Press.</w:t>
      </w:r>
    </w:p>
    <w:p w14:paraId="7C21292A" w14:textId="77777777" w:rsidR="00C21530" w:rsidRPr="008D2EA0" w:rsidRDefault="00C21530" w:rsidP="00346D7D">
      <w:pPr>
        <w:spacing w:line="480" w:lineRule="auto"/>
        <w:ind w:left="720" w:hanging="720"/>
        <w:rPr>
          <w:rFonts w:ascii="Times New Roman" w:hAnsi="Times New Roman" w:cs="Times New Roman"/>
        </w:rPr>
      </w:pPr>
      <w:r w:rsidRPr="008D2EA0">
        <w:rPr>
          <w:rFonts w:ascii="Times New Roman" w:hAnsi="Times New Roman" w:cs="Times New Roman"/>
        </w:rPr>
        <w:t>Lewin, K., 1947. Frontiers in group dynamics. Human Relations, 1(1), pp.5–41.</w:t>
      </w:r>
    </w:p>
    <w:p w14:paraId="1F353D0D" w14:textId="77777777" w:rsidR="00C21530" w:rsidRPr="008D2EA0" w:rsidRDefault="00C21530" w:rsidP="00346D7D">
      <w:pPr>
        <w:spacing w:line="480" w:lineRule="auto"/>
        <w:ind w:left="720" w:hanging="720"/>
        <w:rPr>
          <w:rFonts w:ascii="Times New Roman" w:hAnsi="Times New Roman" w:cs="Times New Roman"/>
        </w:rPr>
      </w:pPr>
      <w:r w:rsidRPr="008D2EA0">
        <w:rPr>
          <w:rFonts w:ascii="Times New Roman" w:hAnsi="Times New Roman" w:cs="Times New Roman"/>
        </w:rPr>
        <w:t>McGregor, D., 1960. The human side of enterprise. New York: McGraw-Hill.</w:t>
      </w:r>
    </w:p>
    <w:p w14:paraId="5873DAE3" w14:textId="77777777" w:rsidR="00C21530" w:rsidRPr="008D2EA0" w:rsidRDefault="00C21530" w:rsidP="00346D7D">
      <w:pPr>
        <w:spacing w:line="480" w:lineRule="auto"/>
        <w:ind w:left="720" w:hanging="720"/>
        <w:rPr>
          <w:rFonts w:ascii="Times New Roman" w:hAnsi="Times New Roman" w:cs="Times New Roman"/>
        </w:rPr>
      </w:pPr>
      <w:r w:rsidRPr="008D2EA0">
        <w:rPr>
          <w:rFonts w:ascii="Times New Roman" w:hAnsi="Times New Roman" w:cs="Times New Roman"/>
        </w:rPr>
        <w:t>Mintzberg, H., 1979. The structuring of organizations: A synthesis of the research. Englewood Cliffs, NJ: Prentice-Hall.</w:t>
      </w:r>
    </w:p>
    <w:p w14:paraId="6FA11506" w14:textId="77777777" w:rsidR="00C21530" w:rsidRPr="008D2EA0" w:rsidRDefault="00C21530" w:rsidP="00346D7D">
      <w:pPr>
        <w:spacing w:line="480" w:lineRule="auto"/>
        <w:ind w:left="720" w:hanging="720"/>
        <w:rPr>
          <w:rFonts w:ascii="Times New Roman" w:hAnsi="Times New Roman" w:cs="Times New Roman"/>
        </w:rPr>
      </w:pPr>
      <w:r w:rsidRPr="008D2EA0">
        <w:rPr>
          <w:rFonts w:ascii="Times New Roman" w:hAnsi="Times New Roman" w:cs="Times New Roman"/>
        </w:rPr>
        <w:t xml:space="preserve">Mullins, L.J., 2016. Management and </w:t>
      </w:r>
      <w:proofErr w:type="spellStart"/>
      <w:r w:rsidRPr="008D2EA0">
        <w:rPr>
          <w:rFonts w:ascii="Times New Roman" w:hAnsi="Times New Roman" w:cs="Times New Roman"/>
        </w:rPr>
        <w:t>organisational</w:t>
      </w:r>
      <w:proofErr w:type="spellEnd"/>
      <w:r w:rsidRPr="008D2EA0">
        <w:rPr>
          <w:rFonts w:ascii="Times New Roman" w:hAnsi="Times New Roman" w:cs="Times New Roman"/>
        </w:rPr>
        <w:t xml:space="preserve"> </w:t>
      </w:r>
      <w:proofErr w:type="spellStart"/>
      <w:r w:rsidRPr="008D2EA0">
        <w:rPr>
          <w:rFonts w:ascii="Times New Roman" w:hAnsi="Times New Roman" w:cs="Times New Roman"/>
        </w:rPr>
        <w:t>behaviour</w:t>
      </w:r>
      <w:proofErr w:type="spellEnd"/>
      <w:r w:rsidRPr="008D2EA0">
        <w:rPr>
          <w:rFonts w:ascii="Times New Roman" w:hAnsi="Times New Roman" w:cs="Times New Roman"/>
        </w:rPr>
        <w:t>. 11th ed. Harlow: Pearson Education.</w:t>
      </w:r>
    </w:p>
    <w:p w14:paraId="11B069DD" w14:textId="77777777" w:rsidR="00C21530" w:rsidRPr="003623A8" w:rsidRDefault="00C21530" w:rsidP="00346D7D">
      <w:pPr>
        <w:spacing w:line="480" w:lineRule="auto"/>
        <w:ind w:left="720" w:hanging="720"/>
        <w:rPr>
          <w:rFonts w:ascii="Times New Roman" w:hAnsi="Times New Roman" w:cs="Times New Roman"/>
        </w:rPr>
      </w:pPr>
      <w:r w:rsidRPr="003623A8">
        <w:rPr>
          <w:rFonts w:ascii="Times New Roman" w:hAnsi="Times New Roman" w:cs="Times New Roman"/>
        </w:rPr>
        <w:t>Schein, E.H., 2017. Organizational culture and leadership. 5th ed. Hoboken, NJ: Wiley.</w:t>
      </w:r>
    </w:p>
    <w:p w14:paraId="37D9FF4E" w14:textId="77777777" w:rsidR="00C21530" w:rsidRPr="008D2EA0" w:rsidRDefault="00C21530" w:rsidP="00346D7D">
      <w:pPr>
        <w:spacing w:line="480" w:lineRule="auto"/>
        <w:ind w:left="720" w:hanging="720"/>
        <w:rPr>
          <w:rFonts w:ascii="Times New Roman" w:hAnsi="Times New Roman" w:cs="Times New Roman"/>
        </w:rPr>
      </w:pPr>
      <w:r w:rsidRPr="008D2EA0">
        <w:rPr>
          <w:rFonts w:ascii="Times New Roman" w:hAnsi="Times New Roman" w:cs="Times New Roman"/>
        </w:rPr>
        <w:lastRenderedPageBreak/>
        <w:t xml:space="preserve">Tajfel, H. and Turner, J.C., 1986. The social identity theory of intergroup behavior. In: S. </w:t>
      </w:r>
      <w:proofErr w:type="spellStart"/>
      <w:r w:rsidRPr="008D2EA0">
        <w:rPr>
          <w:rFonts w:ascii="Times New Roman" w:hAnsi="Times New Roman" w:cs="Times New Roman"/>
        </w:rPr>
        <w:t>Worchel</w:t>
      </w:r>
      <w:proofErr w:type="spellEnd"/>
      <w:r w:rsidRPr="008D2EA0">
        <w:rPr>
          <w:rFonts w:ascii="Times New Roman" w:hAnsi="Times New Roman" w:cs="Times New Roman"/>
        </w:rPr>
        <w:t xml:space="preserve"> and W.G. Austin, eds., Psychology of intergroup relations. Chicago: Nelson-Hall, pp.7–24.</w:t>
      </w:r>
    </w:p>
    <w:p w14:paraId="412419C5" w14:textId="77777777" w:rsidR="00C21530" w:rsidRPr="002836DA" w:rsidRDefault="00C21530" w:rsidP="00346D7D">
      <w:pPr>
        <w:spacing w:line="480" w:lineRule="auto"/>
        <w:ind w:left="720" w:hanging="720"/>
        <w:rPr>
          <w:rFonts w:ascii="Times New Roman" w:hAnsi="Times New Roman" w:cs="Times New Roman"/>
        </w:rPr>
      </w:pPr>
      <w:r w:rsidRPr="002836DA">
        <w:rPr>
          <w:rFonts w:ascii="Times New Roman" w:hAnsi="Times New Roman" w:cs="Times New Roman"/>
        </w:rPr>
        <w:t xml:space="preserve">Thorne, N., 2021. Sustainability practices in the pharmaceutical industry: A case study at AstraZeneca. Uppsala University. Available at: </w:t>
      </w:r>
      <w:hyperlink r:id="rId14" w:history="1">
        <w:r w:rsidRPr="002836DA">
          <w:rPr>
            <w:rStyle w:val="Hyperlink"/>
            <w:rFonts w:ascii="Times New Roman" w:hAnsi="Times New Roman" w:cs="Times New Roman"/>
          </w:rPr>
          <w:t>https://www.diva-portal.org/smash/get/diva2:1569922/FULLTEXT01.pdf</w:t>
        </w:r>
      </w:hyperlink>
      <w:r w:rsidRPr="002836DA">
        <w:rPr>
          <w:rFonts w:ascii="Times New Roman" w:hAnsi="Times New Roman" w:cs="Times New Roman"/>
        </w:rPr>
        <w:t xml:space="preserve"> [Accessed 2 Dec. 2025].</w:t>
      </w:r>
    </w:p>
    <w:p w14:paraId="20FD6A84" w14:textId="77777777" w:rsidR="00C21530" w:rsidRPr="002836DA" w:rsidRDefault="00C21530" w:rsidP="00346D7D">
      <w:pPr>
        <w:spacing w:line="480" w:lineRule="auto"/>
        <w:ind w:left="720" w:hanging="720"/>
        <w:rPr>
          <w:rFonts w:ascii="Times New Roman" w:hAnsi="Times New Roman" w:cs="Times New Roman"/>
        </w:rPr>
      </w:pPr>
      <w:r w:rsidRPr="002836DA">
        <w:rPr>
          <w:rFonts w:ascii="Times New Roman" w:hAnsi="Times New Roman" w:cs="Times New Roman"/>
        </w:rPr>
        <w:t xml:space="preserve">Tulum, Ö., Andreoni, A. and </w:t>
      </w:r>
      <w:proofErr w:type="spellStart"/>
      <w:r w:rsidRPr="002836DA">
        <w:rPr>
          <w:rFonts w:ascii="Times New Roman" w:hAnsi="Times New Roman" w:cs="Times New Roman"/>
        </w:rPr>
        <w:t>Lazonick</w:t>
      </w:r>
      <w:proofErr w:type="spellEnd"/>
      <w:r w:rsidRPr="002836DA">
        <w:rPr>
          <w:rFonts w:ascii="Times New Roman" w:hAnsi="Times New Roman" w:cs="Times New Roman"/>
        </w:rPr>
        <w:t xml:space="preserve">, W., 2022. From </w:t>
      </w:r>
      <w:proofErr w:type="spellStart"/>
      <w:r w:rsidRPr="002836DA">
        <w:rPr>
          <w:rFonts w:ascii="Times New Roman" w:hAnsi="Times New Roman" w:cs="Times New Roman"/>
        </w:rPr>
        <w:t>financialisation</w:t>
      </w:r>
      <w:proofErr w:type="spellEnd"/>
      <w:r w:rsidRPr="002836DA">
        <w:rPr>
          <w:rFonts w:ascii="Times New Roman" w:hAnsi="Times New Roman" w:cs="Times New Roman"/>
        </w:rPr>
        <w:t xml:space="preserve"> to innovation in UK Big pharma: AstraZeneca and GlaxoSmithKline. Cambridge: Cambridge University Press. Available at: </w:t>
      </w:r>
      <w:hyperlink r:id="rId15" w:history="1">
        <w:r w:rsidRPr="002836DA">
          <w:rPr>
            <w:rStyle w:val="Hyperlink"/>
            <w:rFonts w:ascii="Times New Roman" w:hAnsi="Times New Roman" w:cs="Times New Roman"/>
          </w:rPr>
          <w:t>https://www.cambridge.org/core/elements/from-financialisation-to-innovation-in-uk-big-pharma/A077D6158F0A945ED53F3F125EE0650F</w:t>
        </w:r>
      </w:hyperlink>
      <w:r w:rsidRPr="002836DA">
        <w:rPr>
          <w:rFonts w:ascii="Times New Roman" w:hAnsi="Times New Roman" w:cs="Times New Roman"/>
        </w:rPr>
        <w:t xml:space="preserve"> [Accessed 2 Dec. 2025].</w:t>
      </w:r>
    </w:p>
    <w:p w14:paraId="34EC1C86" w14:textId="77777777" w:rsidR="00C21530" w:rsidRPr="002836DA" w:rsidRDefault="00C21530" w:rsidP="00346D7D">
      <w:pPr>
        <w:spacing w:line="480" w:lineRule="auto"/>
        <w:ind w:left="720" w:hanging="720"/>
        <w:rPr>
          <w:rFonts w:ascii="Times New Roman" w:hAnsi="Times New Roman" w:cs="Times New Roman"/>
        </w:rPr>
      </w:pPr>
      <w:proofErr w:type="spellStart"/>
      <w:r w:rsidRPr="002836DA">
        <w:rPr>
          <w:rFonts w:ascii="Times New Roman" w:hAnsi="Times New Roman" w:cs="Times New Roman"/>
        </w:rPr>
        <w:t>Vojkovic</w:t>
      </w:r>
      <w:proofErr w:type="spellEnd"/>
      <w:r w:rsidRPr="002836DA">
        <w:rPr>
          <w:rFonts w:ascii="Times New Roman" w:hAnsi="Times New Roman" w:cs="Times New Roman"/>
        </w:rPr>
        <w:t xml:space="preserve"> Mitic, Z., 2020. Critical success factors in change management: A case study of AstraZeneca. University of </w:t>
      </w:r>
      <w:proofErr w:type="spellStart"/>
      <w:r w:rsidRPr="002836DA">
        <w:rPr>
          <w:rFonts w:ascii="Times New Roman" w:hAnsi="Times New Roman" w:cs="Times New Roman"/>
        </w:rPr>
        <w:t>Gävle</w:t>
      </w:r>
      <w:proofErr w:type="spellEnd"/>
      <w:r w:rsidRPr="002836DA">
        <w:rPr>
          <w:rFonts w:ascii="Times New Roman" w:hAnsi="Times New Roman" w:cs="Times New Roman"/>
        </w:rPr>
        <w:t xml:space="preserve">. Available at: </w:t>
      </w:r>
      <w:hyperlink r:id="rId16" w:history="1">
        <w:r w:rsidRPr="002836DA">
          <w:rPr>
            <w:rStyle w:val="Hyperlink"/>
            <w:rFonts w:ascii="Times New Roman" w:hAnsi="Times New Roman" w:cs="Times New Roman"/>
          </w:rPr>
          <w:t>https://www.diva-portal.org/smash/get/diva2:1526548/FULLTEXT01.pdf</w:t>
        </w:r>
      </w:hyperlink>
      <w:r w:rsidRPr="002836DA">
        <w:rPr>
          <w:rFonts w:ascii="Times New Roman" w:hAnsi="Times New Roman" w:cs="Times New Roman"/>
        </w:rPr>
        <w:t xml:space="preserve"> [Accessed 2 Dec. 2025].</w:t>
      </w:r>
    </w:p>
    <w:p w14:paraId="610F20F6" w14:textId="77777777" w:rsidR="00C21530" w:rsidRPr="008D2EA0" w:rsidRDefault="00C21530" w:rsidP="00346D7D">
      <w:pPr>
        <w:spacing w:line="480" w:lineRule="auto"/>
        <w:ind w:left="720" w:hanging="720"/>
        <w:rPr>
          <w:rFonts w:ascii="Times New Roman" w:hAnsi="Times New Roman" w:cs="Times New Roman"/>
        </w:rPr>
      </w:pPr>
      <w:r w:rsidRPr="008D2EA0">
        <w:rPr>
          <w:rFonts w:ascii="Times New Roman" w:hAnsi="Times New Roman" w:cs="Times New Roman"/>
        </w:rPr>
        <w:t>Vroom, V.H., 1964. Work and motivation. New York: Wiley.</w:t>
      </w:r>
    </w:p>
    <w:p w14:paraId="7A2938BC" w14:textId="77777777" w:rsidR="005130AD" w:rsidRDefault="005130AD" w:rsidP="005130AD">
      <w:pPr>
        <w:rPr>
          <w:rFonts w:ascii="Times New Roman" w:hAnsi="Times New Roman" w:cs="Times New Roman"/>
        </w:rPr>
      </w:pPr>
    </w:p>
    <w:p w14:paraId="332D2400" w14:textId="77777777" w:rsidR="005130AD" w:rsidRDefault="005130AD" w:rsidP="005130AD">
      <w:pPr>
        <w:rPr>
          <w:rFonts w:ascii="Times New Roman" w:hAnsi="Times New Roman" w:cs="Times New Roman"/>
        </w:rPr>
      </w:pPr>
    </w:p>
    <w:p w14:paraId="30983661" w14:textId="77777777" w:rsidR="005130AD" w:rsidRDefault="005130AD" w:rsidP="005130AD">
      <w:pPr>
        <w:rPr>
          <w:rFonts w:ascii="Times New Roman" w:hAnsi="Times New Roman" w:cs="Times New Roman"/>
        </w:rPr>
      </w:pPr>
    </w:p>
    <w:p w14:paraId="5537D7E5" w14:textId="77777777" w:rsidR="005130AD" w:rsidRDefault="005130AD" w:rsidP="005130AD">
      <w:pPr>
        <w:rPr>
          <w:rFonts w:ascii="Times New Roman" w:hAnsi="Times New Roman" w:cs="Times New Roman"/>
        </w:rPr>
      </w:pPr>
    </w:p>
    <w:p w14:paraId="08A3C162" w14:textId="77777777" w:rsidR="005130AD" w:rsidRDefault="005130AD" w:rsidP="005130AD">
      <w:pPr>
        <w:rPr>
          <w:rFonts w:ascii="Times New Roman" w:hAnsi="Times New Roman" w:cs="Times New Roman"/>
        </w:rPr>
      </w:pPr>
    </w:p>
    <w:p w14:paraId="300C84BA" w14:textId="77777777" w:rsidR="005130AD" w:rsidRDefault="005130AD" w:rsidP="005130AD">
      <w:pPr>
        <w:rPr>
          <w:rFonts w:ascii="Times New Roman" w:hAnsi="Times New Roman" w:cs="Times New Roman"/>
        </w:rPr>
      </w:pPr>
    </w:p>
    <w:p w14:paraId="74556CF7" w14:textId="77777777" w:rsidR="005130AD" w:rsidRDefault="005130AD" w:rsidP="005130AD">
      <w:pPr>
        <w:rPr>
          <w:rFonts w:ascii="Times New Roman" w:hAnsi="Times New Roman" w:cs="Times New Roman"/>
        </w:rPr>
      </w:pPr>
    </w:p>
    <w:p w14:paraId="62C41AC7" w14:textId="77777777" w:rsidR="005130AD" w:rsidRDefault="005130AD" w:rsidP="005130AD">
      <w:pPr>
        <w:rPr>
          <w:rFonts w:ascii="Times New Roman" w:hAnsi="Times New Roman" w:cs="Times New Roman"/>
        </w:rPr>
      </w:pPr>
    </w:p>
    <w:p w14:paraId="0CCB3BE9" w14:textId="77777777" w:rsidR="005130AD" w:rsidRDefault="005130AD" w:rsidP="005130AD">
      <w:pPr>
        <w:rPr>
          <w:rFonts w:ascii="Times New Roman" w:hAnsi="Times New Roman" w:cs="Times New Roman"/>
        </w:rPr>
      </w:pPr>
    </w:p>
    <w:p w14:paraId="2634A3FB" w14:textId="77777777" w:rsidR="005130AD" w:rsidRDefault="005130AD" w:rsidP="005130AD">
      <w:pPr>
        <w:rPr>
          <w:rFonts w:ascii="Times New Roman" w:hAnsi="Times New Roman" w:cs="Times New Roman"/>
        </w:rPr>
      </w:pPr>
    </w:p>
    <w:p w14:paraId="70A705A5" w14:textId="77777777" w:rsidR="005130AD" w:rsidRDefault="005130AD" w:rsidP="005130AD">
      <w:pPr>
        <w:rPr>
          <w:rFonts w:ascii="Times New Roman" w:hAnsi="Times New Roman" w:cs="Times New Roman"/>
        </w:rPr>
      </w:pPr>
    </w:p>
    <w:p w14:paraId="0CCCAC7D" w14:textId="77777777" w:rsidR="005130AD" w:rsidRDefault="005130AD" w:rsidP="005130AD">
      <w:pPr>
        <w:rPr>
          <w:rFonts w:ascii="Times New Roman" w:hAnsi="Times New Roman" w:cs="Times New Roman"/>
        </w:rPr>
      </w:pPr>
    </w:p>
    <w:p w14:paraId="19EACBAB" w14:textId="77777777" w:rsidR="005130AD" w:rsidRDefault="005130AD" w:rsidP="005130AD">
      <w:pPr>
        <w:rPr>
          <w:rFonts w:ascii="Times New Roman" w:hAnsi="Times New Roman" w:cs="Times New Roman"/>
        </w:rPr>
      </w:pPr>
    </w:p>
    <w:p w14:paraId="4FCDDB6A" w14:textId="77777777" w:rsidR="005130AD" w:rsidRDefault="005130AD" w:rsidP="005130AD">
      <w:pPr>
        <w:rPr>
          <w:rFonts w:ascii="Times New Roman" w:hAnsi="Times New Roman" w:cs="Times New Roman"/>
        </w:rPr>
      </w:pPr>
    </w:p>
    <w:p w14:paraId="4399A649" w14:textId="77777777" w:rsidR="005130AD" w:rsidRDefault="005130AD" w:rsidP="005130AD">
      <w:pPr>
        <w:rPr>
          <w:rFonts w:ascii="Times New Roman" w:hAnsi="Times New Roman" w:cs="Times New Roman"/>
        </w:rPr>
      </w:pPr>
    </w:p>
    <w:p w14:paraId="56D57FA3" w14:textId="77777777" w:rsidR="005130AD" w:rsidRDefault="005130AD" w:rsidP="005130AD">
      <w:pPr>
        <w:rPr>
          <w:rFonts w:ascii="Times New Roman" w:hAnsi="Times New Roman" w:cs="Times New Roman"/>
        </w:rPr>
      </w:pPr>
    </w:p>
    <w:p w14:paraId="0FE3119A" w14:textId="77777777" w:rsidR="005130AD" w:rsidRDefault="005130AD" w:rsidP="005130AD">
      <w:pPr>
        <w:rPr>
          <w:rFonts w:ascii="Times New Roman" w:hAnsi="Times New Roman" w:cs="Times New Roman"/>
        </w:rPr>
      </w:pPr>
    </w:p>
    <w:p w14:paraId="334E816E" w14:textId="77777777" w:rsidR="005130AD" w:rsidRPr="005130AD" w:rsidRDefault="005130AD" w:rsidP="005130AD">
      <w:pPr>
        <w:rPr>
          <w:rFonts w:ascii="Times New Roman" w:hAnsi="Times New Roman" w:cs="Times New Roman"/>
        </w:rPr>
      </w:pPr>
    </w:p>
    <w:sectPr w:rsidR="005130AD" w:rsidRPr="005130AD">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1C306" w14:textId="77777777" w:rsidR="001C2660" w:rsidRDefault="001C2660" w:rsidP="00A87814">
      <w:pPr>
        <w:spacing w:after="0" w:line="240" w:lineRule="auto"/>
      </w:pPr>
      <w:r>
        <w:separator/>
      </w:r>
    </w:p>
  </w:endnote>
  <w:endnote w:type="continuationSeparator" w:id="0">
    <w:p w14:paraId="17368035" w14:textId="77777777" w:rsidR="001C2660" w:rsidRDefault="001C2660" w:rsidP="00A87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E665A" w14:textId="77777777" w:rsidR="001C2660" w:rsidRDefault="001C2660" w:rsidP="00A87814">
      <w:pPr>
        <w:spacing w:after="0" w:line="240" w:lineRule="auto"/>
      </w:pPr>
      <w:r>
        <w:separator/>
      </w:r>
    </w:p>
  </w:footnote>
  <w:footnote w:type="continuationSeparator" w:id="0">
    <w:p w14:paraId="459DC56D" w14:textId="77777777" w:rsidR="001C2660" w:rsidRDefault="001C2660" w:rsidP="00A87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979071"/>
      <w:docPartObj>
        <w:docPartGallery w:val="Page Numbers (Top of Page)"/>
        <w:docPartUnique/>
      </w:docPartObj>
    </w:sdtPr>
    <w:sdtEndPr>
      <w:rPr>
        <w:noProof/>
      </w:rPr>
    </w:sdtEndPr>
    <w:sdtContent>
      <w:p w14:paraId="788F3282" w14:textId="4D528681" w:rsidR="00A87814" w:rsidRDefault="00A8781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63F249" w14:textId="77777777" w:rsidR="00A87814" w:rsidRDefault="00A878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57FB"/>
    <w:multiLevelType w:val="multilevel"/>
    <w:tmpl w:val="2226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E82324"/>
    <w:multiLevelType w:val="multilevel"/>
    <w:tmpl w:val="C6368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2D74C0"/>
    <w:multiLevelType w:val="multilevel"/>
    <w:tmpl w:val="680A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5573057">
    <w:abstractNumId w:val="1"/>
  </w:num>
  <w:num w:numId="2" w16cid:durableId="745612300">
    <w:abstractNumId w:val="0"/>
  </w:num>
  <w:num w:numId="3" w16cid:durableId="694699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7B8"/>
    <w:rsid w:val="000B01EB"/>
    <w:rsid w:val="001901E2"/>
    <w:rsid w:val="001C2660"/>
    <w:rsid w:val="002836DA"/>
    <w:rsid w:val="002E1AEE"/>
    <w:rsid w:val="00313C22"/>
    <w:rsid w:val="00324520"/>
    <w:rsid w:val="00335383"/>
    <w:rsid w:val="00346D7D"/>
    <w:rsid w:val="003623A8"/>
    <w:rsid w:val="003F3EB2"/>
    <w:rsid w:val="00421DDD"/>
    <w:rsid w:val="005130AD"/>
    <w:rsid w:val="006D5BB1"/>
    <w:rsid w:val="00844544"/>
    <w:rsid w:val="008D2EA0"/>
    <w:rsid w:val="009159DA"/>
    <w:rsid w:val="00A87814"/>
    <w:rsid w:val="00C21530"/>
    <w:rsid w:val="00C61D9D"/>
    <w:rsid w:val="00D438D9"/>
    <w:rsid w:val="00DA5CAE"/>
    <w:rsid w:val="00DB4533"/>
    <w:rsid w:val="00DD0178"/>
    <w:rsid w:val="00DF2EAC"/>
    <w:rsid w:val="00E447B8"/>
    <w:rsid w:val="00E85D44"/>
    <w:rsid w:val="00F01E32"/>
    <w:rsid w:val="00F21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4B0A"/>
  <w15:chartTrackingRefBased/>
  <w15:docId w15:val="{5C49AEED-D13E-4FF6-9A59-302DA56E3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7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7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7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7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7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7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7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7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7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7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7B8"/>
    <w:rPr>
      <w:rFonts w:eastAsiaTheme="majorEastAsia" w:cstheme="majorBidi"/>
      <w:color w:val="272727" w:themeColor="text1" w:themeTint="D8"/>
    </w:rPr>
  </w:style>
  <w:style w:type="paragraph" w:styleId="Title">
    <w:name w:val="Title"/>
    <w:basedOn w:val="Normal"/>
    <w:next w:val="Normal"/>
    <w:link w:val="TitleChar"/>
    <w:uiPriority w:val="10"/>
    <w:qFormat/>
    <w:rsid w:val="00E44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7B8"/>
    <w:pPr>
      <w:spacing w:before="160"/>
      <w:jc w:val="center"/>
    </w:pPr>
    <w:rPr>
      <w:i/>
      <w:iCs/>
      <w:color w:val="404040" w:themeColor="text1" w:themeTint="BF"/>
    </w:rPr>
  </w:style>
  <w:style w:type="character" w:customStyle="1" w:styleId="QuoteChar">
    <w:name w:val="Quote Char"/>
    <w:basedOn w:val="DefaultParagraphFont"/>
    <w:link w:val="Quote"/>
    <w:uiPriority w:val="29"/>
    <w:rsid w:val="00E447B8"/>
    <w:rPr>
      <w:i/>
      <w:iCs/>
      <w:color w:val="404040" w:themeColor="text1" w:themeTint="BF"/>
    </w:rPr>
  </w:style>
  <w:style w:type="paragraph" w:styleId="ListParagraph">
    <w:name w:val="List Paragraph"/>
    <w:basedOn w:val="Normal"/>
    <w:uiPriority w:val="34"/>
    <w:qFormat/>
    <w:rsid w:val="00E447B8"/>
    <w:pPr>
      <w:ind w:left="720"/>
      <w:contextualSpacing/>
    </w:pPr>
  </w:style>
  <w:style w:type="character" w:styleId="IntenseEmphasis">
    <w:name w:val="Intense Emphasis"/>
    <w:basedOn w:val="DefaultParagraphFont"/>
    <w:uiPriority w:val="21"/>
    <w:qFormat/>
    <w:rsid w:val="00E447B8"/>
    <w:rPr>
      <w:i/>
      <w:iCs/>
      <w:color w:val="2F5496" w:themeColor="accent1" w:themeShade="BF"/>
    </w:rPr>
  </w:style>
  <w:style w:type="paragraph" w:styleId="IntenseQuote">
    <w:name w:val="Intense Quote"/>
    <w:basedOn w:val="Normal"/>
    <w:next w:val="Normal"/>
    <w:link w:val="IntenseQuoteChar"/>
    <w:uiPriority w:val="30"/>
    <w:qFormat/>
    <w:rsid w:val="00E447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7B8"/>
    <w:rPr>
      <w:i/>
      <w:iCs/>
      <w:color w:val="2F5496" w:themeColor="accent1" w:themeShade="BF"/>
    </w:rPr>
  </w:style>
  <w:style w:type="character" w:styleId="IntenseReference">
    <w:name w:val="Intense Reference"/>
    <w:basedOn w:val="DefaultParagraphFont"/>
    <w:uiPriority w:val="32"/>
    <w:qFormat/>
    <w:rsid w:val="00E447B8"/>
    <w:rPr>
      <w:b/>
      <w:bCs/>
      <w:smallCaps/>
      <w:color w:val="2F5496" w:themeColor="accent1" w:themeShade="BF"/>
      <w:spacing w:val="5"/>
    </w:rPr>
  </w:style>
  <w:style w:type="character" w:styleId="Hyperlink">
    <w:name w:val="Hyperlink"/>
    <w:basedOn w:val="DefaultParagraphFont"/>
    <w:uiPriority w:val="99"/>
    <w:unhideWhenUsed/>
    <w:rsid w:val="003623A8"/>
    <w:rPr>
      <w:color w:val="0563C1" w:themeColor="hyperlink"/>
      <w:u w:val="single"/>
    </w:rPr>
  </w:style>
  <w:style w:type="character" w:styleId="UnresolvedMention">
    <w:name w:val="Unresolved Mention"/>
    <w:basedOn w:val="DefaultParagraphFont"/>
    <w:uiPriority w:val="99"/>
    <w:semiHidden/>
    <w:unhideWhenUsed/>
    <w:rsid w:val="003623A8"/>
    <w:rPr>
      <w:color w:val="605E5C"/>
      <w:shd w:val="clear" w:color="auto" w:fill="E1DFDD"/>
    </w:rPr>
  </w:style>
  <w:style w:type="paragraph" w:styleId="NormalWeb">
    <w:name w:val="Normal (Web)"/>
    <w:basedOn w:val="Normal"/>
    <w:uiPriority w:val="99"/>
    <w:unhideWhenUsed/>
    <w:rsid w:val="003F3EB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878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814"/>
  </w:style>
  <w:style w:type="paragraph" w:styleId="Footer">
    <w:name w:val="footer"/>
    <w:basedOn w:val="Normal"/>
    <w:link w:val="FooterChar"/>
    <w:uiPriority w:val="99"/>
    <w:unhideWhenUsed/>
    <w:rsid w:val="00A87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90678052_Leadership_in_the_Pharmaceutical_Industry_From_Theory_to_Practice" TargetMode="External"/><Relationship Id="rId13" Type="http://schemas.openxmlformats.org/officeDocument/2006/relationships/hyperlink" Target="https://www.investorsinpeople.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space.mit.edu/bitstream/handle/1721.1/65794/750001856-MIT.pdf" TargetMode="External"/><Relationship Id="rId12" Type="http://schemas.openxmlformats.org/officeDocument/2006/relationships/hyperlink" Target="https://nepjol.info/index.php/batuk/article/view/43507"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diva-portal.org/smash/get/diva2:1526548/FULLTEXT0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ipd.org/uk/knowledge/factsheets/diversity-factsheet/" TargetMode="External"/><Relationship Id="rId5" Type="http://schemas.openxmlformats.org/officeDocument/2006/relationships/footnotes" Target="footnotes.xml"/><Relationship Id="rId15" Type="http://schemas.openxmlformats.org/officeDocument/2006/relationships/hyperlink" Target="https://www.cambridge.org/core/elements/from-financialisation-to-innovation-in-uk-big-pharma/A077D6158F0A945ED53F3F125EE0650F" TargetMode="External"/><Relationship Id="rId10" Type="http://schemas.openxmlformats.org/officeDocument/2006/relationships/hyperlink" Target="https://www.astrazeneca.com/investor-relations/annual-reports.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iencedirect.com/science/article/pii/S0022354924003174" TargetMode="External"/><Relationship Id="rId14" Type="http://schemas.openxmlformats.org/officeDocument/2006/relationships/hyperlink" Target="https://www.diva-portal.org/smash/get/diva2:1569922/FULLTEXT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16</Pages>
  <Words>3590</Words>
  <Characters>20468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98</cp:revision>
  <dcterms:created xsi:type="dcterms:W3CDTF">2025-12-02T13:31:00Z</dcterms:created>
  <dcterms:modified xsi:type="dcterms:W3CDTF">2025-12-02T23:17:00Z</dcterms:modified>
</cp:coreProperties>
</file>