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380C" w14:textId="77777777" w:rsidR="0027793F" w:rsidRPr="009663A0" w:rsidRDefault="0027793F" w:rsidP="009663A0">
      <w:pPr>
        <w:pStyle w:val="NormalWeb"/>
        <w:shd w:val="clear" w:color="auto" w:fill="FFFFFF"/>
        <w:spacing w:before="0" w:beforeAutospacing="0" w:line="480" w:lineRule="auto"/>
        <w:jc w:val="center"/>
        <w:rPr>
          <w:b/>
          <w:bCs/>
          <w:color w:val="262626"/>
        </w:rPr>
      </w:pPr>
    </w:p>
    <w:p w14:paraId="61BF470F" w14:textId="77777777" w:rsidR="0027793F" w:rsidRDefault="0027793F" w:rsidP="009663A0">
      <w:pPr>
        <w:pStyle w:val="NormalWeb"/>
        <w:shd w:val="clear" w:color="auto" w:fill="FFFFFF"/>
        <w:spacing w:before="0" w:beforeAutospacing="0" w:line="480" w:lineRule="auto"/>
        <w:jc w:val="center"/>
        <w:rPr>
          <w:b/>
          <w:bCs/>
          <w:color w:val="262626"/>
        </w:rPr>
      </w:pPr>
    </w:p>
    <w:p w14:paraId="35EB07E3" w14:textId="77777777" w:rsidR="009663A0" w:rsidRPr="009663A0" w:rsidRDefault="009663A0" w:rsidP="009663A0">
      <w:pPr>
        <w:pStyle w:val="NormalWeb"/>
        <w:shd w:val="clear" w:color="auto" w:fill="FFFFFF"/>
        <w:spacing w:before="0" w:beforeAutospacing="0" w:line="480" w:lineRule="auto"/>
        <w:jc w:val="center"/>
        <w:rPr>
          <w:b/>
          <w:bCs/>
          <w:color w:val="262626"/>
        </w:rPr>
      </w:pPr>
    </w:p>
    <w:p w14:paraId="2B19A6C1" w14:textId="0F2035DE" w:rsidR="00A553F5" w:rsidRPr="009663A0" w:rsidRDefault="00A553F5" w:rsidP="009663A0">
      <w:pPr>
        <w:pStyle w:val="NormalWeb"/>
        <w:shd w:val="clear" w:color="auto" w:fill="FFFFFF"/>
        <w:spacing w:before="0" w:beforeAutospacing="0" w:line="480" w:lineRule="auto"/>
        <w:jc w:val="center"/>
        <w:rPr>
          <w:b/>
          <w:bCs/>
          <w:color w:val="262626"/>
        </w:rPr>
      </w:pPr>
      <w:r w:rsidRPr="009663A0">
        <w:rPr>
          <w:b/>
          <w:bCs/>
          <w:color w:val="262626"/>
        </w:rPr>
        <w:t>What is the most appropriate methodological approach to researching local communities' perceptions of ethical wildlife tourism and its contributions to responsible development?</w:t>
      </w:r>
    </w:p>
    <w:p w14:paraId="202DF6AA" w14:textId="77777777" w:rsidR="0027793F" w:rsidRPr="009663A0" w:rsidRDefault="0027793F" w:rsidP="009663A0">
      <w:pPr>
        <w:pStyle w:val="NormalWeb"/>
        <w:shd w:val="clear" w:color="auto" w:fill="FFFFFF"/>
        <w:spacing w:before="0" w:beforeAutospacing="0" w:line="480" w:lineRule="auto"/>
        <w:jc w:val="center"/>
        <w:rPr>
          <w:b/>
          <w:bCs/>
          <w:color w:val="262626"/>
        </w:rPr>
      </w:pPr>
    </w:p>
    <w:p w14:paraId="4278E4EF" w14:textId="77777777" w:rsidR="0027793F" w:rsidRPr="009663A0" w:rsidRDefault="0027793F" w:rsidP="009663A0">
      <w:pPr>
        <w:spacing w:line="480" w:lineRule="auto"/>
        <w:rPr>
          <w:rStyle w:val="Strong"/>
          <w:rFonts w:ascii="Times New Roman" w:hAnsi="Times New Roman" w:cs="Times New Roman"/>
        </w:rPr>
      </w:pPr>
    </w:p>
    <w:p w14:paraId="32F37992" w14:textId="77777777" w:rsidR="0027793F" w:rsidRPr="009663A0" w:rsidRDefault="0027793F" w:rsidP="009663A0">
      <w:pPr>
        <w:spacing w:line="360" w:lineRule="auto"/>
        <w:contextualSpacing/>
        <w:jc w:val="center"/>
        <w:outlineLvl w:val="0"/>
        <w:rPr>
          <w:rFonts w:ascii="Times New Roman" w:hAnsi="Times New Roman" w:cs="Times New Roman"/>
          <w:kern w:val="36"/>
        </w:rPr>
      </w:pPr>
      <w:r w:rsidRPr="009663A0">
        <w:rPr>
          <w:rFonts w:ascii="Times New Roman" w:hAnsi="Times New Roman" w:cs="Times New Roman"/>
          <w:kern w:val="36"/>
        </w:rPr>
        <w:t xml:space="preserve">Student's name </w:t>
      </w:r>
    </w:p>
    <w:p w14:paraId="418B9A39" w14:textId="77777777" w:rsidR="0027793F" w:rsidRPr="009663A0" w:rsidRDefault="0027793F" w:rsidP="009663A0">
      <w:pPr>
        <w:spacing w:line="360" w:lineRule="auto"/>
        <w:contextualSpacing/>
        <w:jc w:val="center"/>
        <w:outlineLvl w:val="0"/>
        <w:rPr>
          <w:rFonts w:ascii="Times New Roman" w:hAnsi="Times New Roman" w:cs="Times New Roman"/>
          <w:kern w:val="36"/>
        </w:rPr>
      </w:pPr>
    </w:p>
    <w:p w14:paraId="23A861CA" w14:textId="77777777" w:rsidR="0027793F" w:rsidRPr="009663A0" w:rsidRDefault="0027793F" w:rsidP="009663A0">
      <w:pPr>
        <w:spacing w:line="360" w:lineRule="auto"/>
        <w:contextualSpacing/>
        <w:jc w:val="center"/>
        <w:outlineLvl w:val="0"/>
        <w:rPr>
          <w:rFonts w:ascii="Times New Roman" w:hAnsi="Times New Roman" w:cs="Times New Roman"/>
          <w:kern w:val="36"/>
        </w:rPr>
      </w:pPr>
      <w:r w:rsidRPr="009663A0">
        <w:rPr>
          <w:rFonts w:ascii="Times New Roman" w:hAnsi="Times New Roman" w:cs="Times New Roman"/>
          <w:kern w:val="36"/>
        </w:rPr>
        <w:t>Course name</w:t>
      </w:r>
    </w:p>
    <w:p w14:paraId="0DBC3723" w14:textId="77777777" w:rsidR="0027793F" w:rsidRPr="009663A0" w:rsidRDefault="0027793F" w:rsidP="009663A0">
      <w:pPr>
        <w:spacing w:line="360" w:lineRule="auto"/>
        <w:contextualSpacing/>
        <w:outlineLvl w:val="0"/>
        <w:rPr>
          <w:rFonts w:ascii="Times New Roman" w:hAnsi="Times New Roman" w:cs="Times New Roman"/>
          <w:kern w:val="36"/>
        </w:rPr>
      </w:pPr>
    </w:p>
    <w:p w14:paraId="089BE866" w14:textId="77777777" w:rsidR="0027793F" w:rsidRPr="009663A0" w:rsidRDefault="0027793F" w:rsidP="009663A0">
      <w:pPr>
        <w:spacing w:line="360" w:lineRule="auto"/>
        <w:contextualSpacing/>
        <w:jc w:val="center"/>
        <w:outlineLvl w:val="0"/>
        <w:rPr>
          <w:rFonts w:ascii="Times New Roman" w:hAnsi="Times New Roman" w:cs="Times New Roman"/>
          <w:kern w:val="36"/>
        </w:rPr>
      </w:pPr>
      <w:r w:rsidRPr="009663A0">
        <w:rPr>
          <w:rFonts w:ascii="Times New Roman" w:hAnsi="Times New Roman" w:cs="Times New Roman"/>
          <w:kern w:val="36"/>
        </w:rPr>
        <w:t>Professor's name</w:t>
      </w:r>
    </w:p>
    <w:p w14:paraId="602F4ABF" w14:textId="77777777" w:rsidR="0027793F" w:rsidRPr="009663A0" w:rsidRDefault="0027793F" w:rsidP="009663A0">
      <w:pPr>
        <w:spacing w:line="360" w:lineRule="auto"/>
        <w:contextualSpacing/>
        <w:jc w:val="center"/>
        <w:outlineLvl w:val="0"/>
        <w:rPr>
          <w:rFonts w:ascii="Times New Roman" w:hAnsi="Times New Roman" w:cs="Times New Roman"/>
          <w:kern w:val="36"/>
        </w:rPr>
      </w:pPr>
    </w:p>
    <w:p w14:paraId="11537C59" w14:textId="77777777" w:rsidR="0027793F" w:rsidRPr="009663A0" w:rsidRDefault="0027793F" w:rsidP="009663A0">
      <w:pPr>
        <w:spacing w:line="360" w:lineRule="auto"/>
        <w:contextualSpacing/>
        <w:jc w:val="center"/>
        <w:outlineLvl w:val="0"/>
        <w:rPr>
          <w:rFonts w:ascii="Times New Roman" w:hAnsi="Times New Roman" w:cs="Times New Roman"/>
          <w:kern w:val="36"/>
        </w:rPr>
      </w:pPr>
      <w:r w:rsidRPr="009663A0">
        <w:rPr>
          <w:rFonts w:ascii="Times New Roman" w:hAnsi="Times New Roman" w:cs="Times New Roman"/>
          <w:kern w:val="36"/>
        </w:rPr>
        <w:t>Institution</w:t>
      </w:r>
    </w:p>
    <w:p w14:paraId="4AD61894" w14:textId="77777777" w:rsidR="0027793F" w:rsidRPr="009663A0" w:rsidRDefault="0027793F" w:rsidP="009663A0">
      <w:pPr>
        <w:spacing w:line="360" w:lineRule="auto"/>
        <w:contextualSpacing/>
        <w:jc w:val="center"/>
        <w:outlineLvl w:val="0"/>
        <w:rPr>
          <w:rFonts w:ascii="Times New Roman" w:hAnsi="Times New Roman" w:cs="Times New Roman"/>
          <w:kern w:val="36"/>
        </w:rPr>
      </w:pPr>
    </w:p>
    <w:p w14:paraId="1279D317" w14:textId="77777777" w:rsidR="0027793F" w:rsidRPr="009663A0" w:rsidRDefault="0027793F" w:rsidP="009663A0">
      <w:pPr>
        <w:spacing w:line="360" w:lineRule="auto"/>
        <w:contextualSpacing/>
        <w:jc w:val="center"/>
        <w:outlineLvl w:val="0"/>
        <w:rPr>
          <w:rFonts w:ascii="Times New Roman" w:hAnsi="Times New Roman" w:cs="Times New Roman"/>
          <w:kern w:val="36"/>
        </w:rPr>
      </w:pPr>
      <w:r w:rsidRPr="009663A0">
        <w:rPr>
          <w:rFonts w:ascii="Times New Roman" w:hAnsi="Times New Roman" w:cs="Times New Roman"/>
          <w:kern w:val="36"/>
        </w:rPr>
        <w:t>Date</w:t>
      </w:r>
    </w:p>
    <w:p w14:paraId="7D59A757" w14:textId="77777777" w:rsidR="0027793F" w:rsidRPr="009663A0" w:rsidRDefault="0027793F" w:rsidP="009663A0">
      <w:pPr>
        <w:pStyle w:val="NormalWeb"/>
        <w:shd w:val="clear" w:color="auto" w:fill="FFFFFF"/>
        <w:spacing w:before="0" w:beforeAutospacing="0" w:line="480" w:lineRule="auto"/>
        <w:jc w:val="center"/>
        <w:rPr>
          <w:b/>
          <w:bCs/>
          <w:color w:val="262626"/>
        </w:rPr>
      </w:pPr>
    </w:p>
    <w:p w14:paraId="035BD555" w14:textId="77777777" w:rsidR="0027793F" w:rsidRPr="009663A0" w:rsidRDefault="0027793F" w:rsidP="009663A0">
      <w:pPr>
        <w:pStyle w:val="NormalWeb"/>
        <w:shd w:val="clear" w:color="auto" w:fill="FFFFFF"/>
        <w:spacing w:before="0" w:beforeAutospacing="0" w:line="480" w:lineRule="auto"/>
        <w:jc w:val="center"/>
        <w:rPr>
          <w:b/>
          <w:bCs/>
          <w:color w:val="262626"/>
        </w:rPr>
      </w:pPr>
    </w:p>
    <w:p w14:paraId="14D1DC0B" w14:textId="77777777" w:rsidR="0027793F" w:rsidRPr="009663A0" w:rsidRDefault="0027793F" w:rsidP="009663A0">
      <w:pPr>
        <w:pStyle w:val="NormalWeb"/>
        <w:shd w:val="clear" w:color="auto" w:fill="FFFFFF"/>
        <w:spacing w:before="0" w:beforeAutospacing="0" w:line="480" w:lineRule="auto"/>
        <w:jc w:val="center"/>
        <w:rPr>
          <w:b/>
          <w:bCs/>
          <w:color w:val="262626"/>
        </w:rPr>
      </w:pPr>
    </w:p>
    <w:p w14:paraId="7E43F309" w14:textId="77777777" w:rsidR="0027793F" w:rsidRDefault="0027793F" w:rsidP="009663A0">
      <w:pPr>
        <w:pStyle w:val="NormalWeb"/>
        <w:shd w:val="clear" w:color="auto" w:fill="FFFFFF"/>
        <w:spacing w:before="0" w:beforeAutospacing="0" w:line="480" w:lineRule="auto"/>
        <w:jc w:val="center"/>
        <w:rPr>
          <w:b/>
          <w:bCs/>
          <w:color w:val="262626"/>
        </w:rPr>
      </w:pPr>
    </w:p>
    <w:p w14:paraId="5CA80F77" w14:textId="77777777" w:rsidR="009663A0" w:rsidRPr="009663A0" w:rsidRDefault="009663A0" w:rsidP="009663A0">
      <w:pPr>
        <w:pStyle w:val="NormalWeb"/>
        <w:shd w:val="clear" w:color="auto" w:fill="FFFFFF"/>
        <w:spacing w:before="0" w:beforeAutospacing="0" w:line="480" w:lineRule="auto"/>
        <w:rPr>
          <w:b/>
          <w:bCs/>
          <w:color w:val="262626"/>
        </w:rPr>
      </w:pPr>
    </w:p>
    <w:p w14:paraId="29C9EC3F" w14:textId="57086F72" w:rsidR="0027793F" w:rsidRPr="009663A0" w:rsidRDefault="006D4AC5" w:rsidP="009663A0">
      <w:pPr>
        <w:pStyle w:val="NormalWeb"/>
        <w:shd w:val="clear" w:color="auto" w:fill="FFFFFF"/>
        <w:spacing w:before="0" w:beforeAutospacing="0" w:line="480" w:lineRule="auto"/>
        <w:jc w:val="center"/>
        <w:rPr>
          <w:b/>
          <w:bCs/>
          <w:color w:val="262626"/>
        </w:rPr>
      </w:pPr>
      <w:r w:rsidRPr="009663A0">
        <w:rPr>
          <w:b/>
          <w:bCs/>
          <w:color w:val="262626"/>
        </w:rPr>
        <w:lastRenderedPageBreak/>
        <w:t>What is the most appropriate methodological approach to researching local communities' perceptions of ethical wildlife tourism and its contributions to responsible development?</w:t>
      </w:r>
    </w:p>
    <w:p w14:paraId="49DAD104" w14:textId="1A7FAFA3" w:rsidR="00A553F5" w:rsidRPr="009663A0" w:rsidRDefault="00DE4595" w:rsidP="009663A0">
      <w:pPr>
        <w:spacing w:line="480" w:lineRule="auto"/>
        <w:rPr>
          <w:rFonts w:ascii="Times New Roman" w:hAnsi="Times New Roman" w:cs="Times New Roman"/>
          <w:b/>
          <w:bCs/>
        </w:rPr>
      </w:pPr>
      <w:r w:rsidRPr="009663A0">
        <w:rPr>
          <w:rFonts w:ascii="Times New Roman" w:hAnsi="Times New Roman" w:cs="Times New Roman"/>
          <w:b/>
          <w:bCs/>
        </w:rPr>
        <w:t>Introduction</w:t>
      </w:r>
    </w:p>
    <w:p w14:paraId="25EEE8EF" w14:textId="75C7029E" w:rsidR="00DF3CC3" w:rsidRPr="009663A0" w:rsidRDefault="00DF3CC3" w:rsidP="009663A0">
      <w:pPr>
        <w:spacing w:before="100" w:beforeAutospacing="1" w:after="100" w:afterAutospacing="1" w:line="480" w:lineRule="auto"/>
        <w:ind w:firstLine="720"/>
        <w:outlineLvl w:val="2"/>
        <w:rPr>
          <w:rFonts w:ascii="Times New Roman" w:hAnsi="Times New Roman" w:cs="Times New Roman"/>
        </w:rPr>
      </w:pPr>
      <w:r w:rsidRPr="009663A0">
        <w:rPr>
          <w:rFonts w:ascii="Times New Roman" w:hAnsi="Times New Roman" w:cs="Times New Roman"/>
        </w:rPr>
        <w:t>Ethical wildlife tourism contributes significantly to responsible development more so when it helps local communities and conserve the biodiversity. It is important to understand the way these communities view ethical practises in order to formulate policies that would guarantee conservation and social equity. Nevertheless, scholars have discussed this issue in different methodological and philosophical ways, and there has been some concern regarding which approach best reflects local views. Based on 1</w:t>
      </w:r>
      <w:r w:rsidRPr="009663A0">
        <w:rPr>
          <w:rFonts w:ascii="Times New Roman" w:hAnsi="Times New Roman" w:cs="Times New Roman"/>
        </w:rPr>
        <w:t>0</w:t>
      </w:r>
      <w:r w:rsidRPr="009663A0">
        <w:rPr>
          <w:rFonts w:ascii="Times New Roman" w:hAnsi="Times New Roman" w:cs="Times New Roman"/>
        </w:rPr>
        <w:t xml:space="preserve"> peer-reviewed works, this discursive essay critically compares various methodological instruments in the study of the local community perceptions in ethical wildlife tourism. It compares and contrasts these methodologies, discusses philosophical foundations of them e.g. positivism and interpretivism, and evaluates their advantages and disadvantages. Finally, this paper presents the argument about the most valid way of researching into this topic in the most appropriate and ethical manner.</w:t>
      </w:r>
    </w:p>
    <w:p w14:paraId="7C0E4D12" w14:textId="149A56BA" w:rsidR="00613BB0" w:rsidRPr="003948E9" w:rsidRDefault="00C56EA9" w:rsidP="009663A0">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13BB0">
        <w:rPr>
          <w:rFonts w:ascii="Times New Roman" w:eastAsia="Times New Roman" w:hAnsi="Times New Roman" w:cs="Times New Roman"/>
          <w:b/>
          <w:bCs/>
          <w:kern w:val="0"/>
          <w14:ligatures w14:val="none"/>
        </w:rPr>
        <w:t>Literature and Methodological Synthesis</w:t>
      </w:r>
    </w:p>
    <w:tbl>
      <w:tblPr>
        <w:tblStyle w:val="TableGrid"/>
        <w:tblW w:w="12060" w:type="dxa"/>
        <w:tblInd w:w="-1355" w:type="dxa"/>
        <w:tblLayout w:type="fixed"/>
        <w:tblLook w:val="04A0" w:firstRow="1" w:lastRow="0" w:firstColumn="1" w:lastColumn="0" w:noHBand="0" w:noVBand="1"/>
      </w:tblPr>
      <w:tblGrid>
        <w:gridCol w:w="1350"/>
        <w:gridCol w:w="1080"/>
        <w:gridCol w:w="1260"/>
        <w:gridCol w:w="1170"/>
        <w:gridCol w:w="1350"/>
        <w:gridCol w:w="1080"/>
        <w:gridCol w:w="1260"/>
        <w:gridCol w:w="1530"/>
        <w:gridCol w:w="1980"/>
      </w:tblGrid>
      <w:tr w:rsidR="00613BB0" w:rsidRPr="009663A0" w14:paraId="79ED61FD" w14:textId="77777777" w:rsidTr="00613BB0">
        <w:tc>
          <w:tcPr>
            <w:tcW w:w="1350" w:type="dxa"/>
            <w:hideMark/>
          </w:tcPr>
          <w:p w14:paraId="4BAF9AA8"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Author &amp; Year</w:t>
            </w:r>
          </w:p>
        </w:tc>
        <w:tc>
          <w:tcPr>
            <w:tcW w:w="1080" w:type="dxa"/>
            <w:hideMark/>
          </w:tcPr>
          <w:p w14:paraId="2ACD0742"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Methodological Design</w:t>
            </w:r>
          </w:p>
        </w:tc>
        <w:tc>
          <w:tcPr>
            <w:tcW w:w="1260" w:type="dxa"/>
            <w:hideMark/>
          </w:tcPr>
          <w:p w14:paraId="169C3BDB"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Approach</w:t>
            </w:r>
          </w:p>
        </w:tc>
        <w:tc>
          <w:tcPr>
            <w:tcW w:w="1170" w:type="dxa"/>
            <w:hideMark/>
          </w:tcPr>
          <w:p w14:paraId="02B101FA"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Methods Used</w:t>
            </w:r>
          </w:p>
        </w:tc>
        <w:tc>
          <w:tcPr>
            <w:tcW w:w="1350" w:type="dxa"/>
            <w:hideMark/>
          </w:tcPr>
          <w:p w14:paraId="5BA576E3"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Sampling &amp; Size</w:t>
            </w:r>
          </w:p>
        </w:tc>
        <w:tc>
          <w:tcPr>
            <w:tcW w:w="1080" w:type="dxa"/>
            <w:hideMark/>
          </w:tcPr>
          <w:p w14:paraId="75CEBC9A"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Analysis Method</w:t>
            </w:r>
          </w:p>
        </w:tc>
        <w:tc>
          <w:tcPr>
            <w:tcW w:w="1260" w:type="dxa"/>
            <w:hideMark/>
          </w:tcPr>
          <w:p w14:paraId="1726647F"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Presentation Style</w:t>
            </w:r>
          </w:p>
        </w:tc>
        <w:tc>
          <w:tcPr>
            <w:tcW w:w="1530" w:type="dxa"/>
            <w:hideMark/>
          </w:tcPr>
          <w:p w14:paraId="36EA1C0D"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Philosophical Approach</w:t>
            </w:r>
          </w:p>
        </w:tc>
        <w:tc>
          <w:tcPr>
            <w:tcW w:w="1980" w:type="dxa"/>
            <w:hideMark/>
          </w:tcPr>
          <w:p w14:paraId="4E42F63D"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Key Conclusions</w:t>
            </w:r>
          </w:p>
        </w:tc>
      </w:tr>
      <w:tr w:rsidR="00D8446B" w:rsidRPr="009663A0" w14:paraId="3E17A2ED" w14:textId="77777777" w:rsidTr="00613BB0">
        <w:tc>
          <w:tcPr>
            <w:tcW w:w="1350" w:type="dxa"/>
            <w:hideMark/>
          </w:tcPr>
          <w:p w14:paraId="22D53354" w14:textId="1DBF835F"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t>Ghasempour</w:t>
            </w:r>
            <w:r w:rsidR="00350818">
              <w:rPr>
                <w:rFonts w:ascii="Times New Roman" w:hAnsi="Times New Roman" w:cs="Times New Roman"/>
                <w:b/>
                <w:bCs/>
              </w:rPr>
              <w:t xml:space="preserve"> et al. </w:t>
            </w:r>
            <w:r w:rsidRPr="003948E9">
              <w:rPr>
                <w:rFonts w:ascii="Times New Roman" w:hAnsi="Times New Roman" w:cs="Times New Roman"/>
                <w:b/>
                <w:bCs/>
              </w:rPr>
              <w:t>(2025)</w:t>
            </w:r>
          </w:p>
        </w:tc>
        <w:tc>
          <w:tcPr>
            <w:tcW w:w="1080" w:type="dxa"/>
            <w:hideMark/>
          </w:tcPr>
          <w:p w14:paraId="681EE046"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Case Study</w:t>
            </w:r>
          </w:p>
        </w:tc>
        <w:tc>
          <w:tcPr>
            <w:tcW w:w="1260" w:type="dxa"/>
            <w:hideMark/>
          </w:tcPr>
          <w:p w14:paraId="038ED791"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Qualitative</w:t>
            </w:r>
          </w:p>
        </w:tc>
        <w:tc>
          <w:tcPr>
            <w:tcW w:w="1170" w:type="dxa"/>
            <w:hideMark/>
          </w:tcPr>
          <w:p w14:paraId="19F08C00"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 xml:space="preserve">Semi-structured interviews, </w:t>
            </w:r>
            <w:r w:rsidRPr="003948E9">
              <w:rPr>
                <w:rFonts w:ascii="Times New Roman" w:hAnsi="Times New Roman" w:cs="Times New Roman"/>
              </w:rPr>
              <w:lastRenderedPageBreak/>
              <w:t>document analysis of training programs</w:t>
            </w:r>
          </w:p>
        </w:tc>
        <w:tc>
          <w:tcPr>
            <w:tcW w:w="1350" w:type="dxa"/>
            <w:hideMark/>
          </w:tcPr>
          <w:p w14:paraId="3C37A9ED"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lastRenderedPageBreak/>
              <w:t xml:space="preserve">Purposive sampling (local guides and officials); </w:t>
            </w:r>
            <w:r w:rsidRPr="003948E9">
              <w:rPr>
                <w:rFonts w:ascii="Times New Roman" w:hAnsi="Times New Roman" w:cs="Times New Roman"/>
              </w:rPr>
              <w:lastRenderedPageBreak/>
              <w:t>sample size not specified</w:t>
            </w:r>
          </w:p>
        </w:tc>
        <w:tc>
          <w:tcPr>
            <w:tcW w:w="1080" w:type="dxa"/>
            <w:hideMark/>
          </w:tcPr>
          <w:p w14:paraId="3E7EBF57"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lastRenderedPageBreak/>
              <w:t xml:space="preserve">Thematic coding (open </w:t>
            </w:r>
            <w:r w:rsidRPr="003948E9">
              <w:rPr>
                <w:rFonts w:ascii="Times New Roman" w:hAnsi="Times New Roman" w:cs="Times New Roman"/>
              </w:rPr>
              <w:lastRenderedPageBreak/>
              <w:t>and axial)</w:t>
            </w:r>
          </w:p>
        </w:tc>
        <w:tc>
          <w:tcPr>
            <w:tcW w:w="1260" w:type="dxa"/>
            <w:hideMark/>
          </w:tcPr>
          <w:p w14:paraId="1F7F491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lastRenderedPageBreak/>
              <w:t>Thematic narratives and direct quotations</w:t>
            </w:r>
          </w:p>
        </w:tc>
        <w:tc>
          <w:tcPr>
            <w:tcW w:w="1530" w:type="dxa"/>
            <w:hideMark/>
          </w:tcPr>
          <w:p w14:paraId="7122F08F"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 xml:space="preserve">Interpretivist – understanding social meanings </w:t>
            </w:r>
            <w:r w:rsidRPr="003948E9">
              <w:rPr>
                <w:rFonts w:ascii="Times New Roman" w:hAnsi="Times New Roman" w:cs="Times New Roman"/>
              </w:rPr>
              <w:lastRenderedPageBreak/>
              <w:t>and context in training for ethical tourism</w:t>
            </w:r>
          </w:p>
        </w:tc>
        <w:tc>
          <w:tcPr>
            <w:tcW w:w="1980" w:type="dxa"/>
            <w:hideMark/>
          </w:tcPr>
          <w:p w14:paraId="6473808E" w14:textId="2EA586E6"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lastRenderedPageBreak/>
              <w:t xml:space="preserve">Ethical tourism is enhanced by localised training that is harmonised </w:t>
            </w:r>
            <w:r w:rsidRPr="009663A0">
              <w:rPr>
                <w:rFonts w:ascii="Times New Roman" w:hAnsi="Times New Roman" w:cs="Times New Roman"/>
              </w:rPr>
              <w:lastRenderedPageBreak/>
              <w:t>with the values of a community.</w:t>
            </w:r>
          </w:p>
        </w:tc>
      </w:tr>
      <w:tr w:rsidR="00D8446B" w:rsidRPr="009663A0" w14:paraId="655105F1" w14:textId="77777777" w:rsidTr="00613BB0">
        <w:tc>
          <w:tcPr>
            <w:tcW w:w="1350" w:type="dxa"/>
            <w:hideMark/>
          </w:tcPr>
          <w:p w14:paraId="2BD221AF"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lastRenderedPageBreak/>
              <w:t>John (2026)</w:t>
            </w:r>
          </w:p>
        </w:tc>
        <w:tc>
          <w:tcPr>
            <w:tcW w:w="1080" w:type="dxa"/>
            <w:hideMark/>
          </w:tcPr>
          <w:p w14:paraId="37630A45"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Survey-based Ecological Study</w:t>
            </w:r>
          </w:p>
        </w:tc>
        <w:tc>
          <w:tcPr>
            <w:tcW w:w="1260" w:type="dxa"/>
            <w:hideMark/>
          </w:tcPr>
          <w:p w14:paraId="6D8DCEC8"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Quantitative</w:t>
            </w:r>
          </w:p>
        </w:tc>
        <w:tc>
          <w:tcPr>
            <w:tcW w:w="1170" w:type="dxa"/>
            <w:hideMark/>
          </w:tcPr>
          <w:p w14:paraId="7442C710"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GIS mapping, ecological assessments, carrying capacity tools</w:t>
            </w:r>
          </w:p>
        </w:tc>
        <w:tc>
          <w:tcPr>
            <w:tcW w:w="1350" w:type="dxa"/>
            <w:hideMark/>
          </w:tcPr>
          <w:p w14:paraId="40DBAD1E"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Stratified sampling based on ecological zones (sample size not stated)</w:t>
            </w:r>
          </w:p>
        </w:tc>
        <w:tc>
          <w:tcPr>
            <w:tcW w:w="1080" w:type="dxa"/>
            <w:hideMark/>
          </w:tcPr>
          <w:p w14:paraId="468D3EED"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Statistical analysis of ecological indicators</w:t>
            </w:r>
          </w:p>
        </w:tc>
        <w:tc>
          <w:tcPr>
            <w:tcW w:w="1260" w:type="dxa"/>
            <w:hideMark/>
          </w:tcPr>
          <w:p w14:paraId="33B3DA9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Graphs, tables, maps, and data summaries</w:t>
            </w:r>
          </w:p>
        </w:tc>
        <w:tc>
          <w:tcPr>
            <w:tcW w:w="1530" w:type="dxa"/>
            <w:hideMark/>
          </w:tcPr>
          <w:p w14:paraId="15D4F007"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Positivist – objective measurement of environmental thresholds</w:t>
            </w:r>
          </w:p>
        </w:tc>
        <w:tc>
          <w:tcPr>
            <w:tcW w:w="1980" w:type="dxa"/>
            <w:hideMark/>
          </w:tcPr>
          <w:p w14:paraId="2508FFFB" w14:textId="4D119010"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Ecotourism based on ethics relies on the observance of ecological boundaries and tourists numbers.</w:t>
            </w:r>
          </w:p>
        </w:tc>
      </w:tr>
      <w:tr w:rsidR="00D8446B" w:rsidRPr="009663A0" w14:paraId="53BF9277" w14:textId="77777777" w:rsidTr="00613BB0">
        <w:tc>
          <w:tcPr>
            <w:tcW w:w="1350" w:type="dxa"/>
            <w:hideMark/>
          </w:tcPr>
          <w:p w14:paraId="705DCC8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t>Gautam, Anup &amp; Khatiwada (2025)</w:t>
            </w:r>
          </w:p>
        </w:tc>
        <w:tc>
          <w:tcPr>
            <w:tcW w:w="1080" w:type="dxa"/>
            <w:hideMark/>
          </w:tcPr>
          <w:p w14:paraId="597B8EE3"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Case Study</w:t>
            </w:r>
          </w:p>
        </w:tc>
        <w:tc>
          <w:tcPr>
            <w:tcW w:w="1260" w:type="dxa"/>
            <w:hideMark/>
          </w:tcPr>
          <w:p w14:paraId="74257773"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Mixed Methods</w:t>
            </w:r>
          </w:p>
        </w:tc>
        <w:tc>
          <w:tcPr>
            <w:tcW w:w="1170" w:type="dxa"/>
            <w:hideMark/>
          </w:tcPr>
          <w:p w14:paraId="5C646093"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Household surveys, interviews with local tourism actors</w:t>
            </w:r>
          </w:p>
        </w:tc>
        <w:tc>
          <w:tcPr>
            <w:tcW w:w="1350" w:type="dxa"/>
            <w:hideMark/>
          </w:tcPr>
          <w:p w14:paraId="11D9D387"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Convenience sampling; sample size not mentioned</w:t>
            </w:r>
          </w:p>
        </w:tc>
        <w:tc>
          <w:tcPr>
            <w:tcW w:w="1080" w:type="dxa"/>
            <w:hideMark/>
          </w:tcPr>
          <w:p w14:paraId="6C9499A3"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Descriptive statistics and manual thematic analysis</w:t>
            </w:r>
          </w:p>
        </w:tc>
        <w:tc>
          <w:tcPr>
            <w:tcW w:w="1260" w:type="dxa"/>
            <w:hideMark/>
          </w:tcPr>
          <w:p w14:paraId="1BD6F9E1"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Combined narrative and visual data (tables, charts)</w:t>
            </w:r>
          </w:p>
        </w:tc>
        <w:tc>
          <w:tcPr>
            <w:tcW w:w="1530" w:type="dxa"/>
            <w:hideMark/>
          </w:tcPr>
          <w:p w14:paraId="213CE35D"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Pragmatic – combines data types to reflect complexity of socio-ecological impacts</w:t>
            </w:r>
          </w:p>
        </w:tc>
        <w:tc>
          <w:tcPr>
            <w:tcW w:w="1980" w:type="dxa"/>
            <w:hideMark/>
          </w:tcPr>
          <w:p w14:paraId="37EB2A39" w14:textId="200C49D9"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COVID-19 bothered livelihoods in tourism and accentuated the requirement of adaptive resilience.</w:t>
            </w:r>
          </w:p>
        </w:tc>
      </w:tr>
      <w:tr w:rsidR="00D8446B" w:rsidRPr="009663A0" w14:paraId="59C40926" w14:textId="77777777" w:rsidTr="00613BB0">
        <w:tc>
          <w:tcPr>
            <w:tcW w:w="1350" w:type="dxa"/>
            <w:hideMark/>
          </w:tcPr>
          <w:p w14:paraId="7762BD30"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t>Ainomujuni &amp; Twinamatsiko (2025)</w:t>
            </w:r>
          </w:p>
        </w:tc>
        <w:tc>
          <w:tcPr>
            <w:tcW w:w="1080" w:type="dxa"/>
            <w:hideMark/>
          </w:tcPr>
          <w:p w14:paraId="2200D21A"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Phenomenological Study</w:t>
            </w:r>
          </w:p>
        </w:tc>
        <w:tc>
          <w:tcPr>
            <w:tcW w:w="1260" w:type="dxa"/>
            <w:hideMark/>
          </w:tcPr>
          <w:p w14:paraId="1488E61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Qualitative</w:t>
            </w:r>
          </w:p>
        </w:tc>
        <w:tc>
          <w:tcPr>
            <w:tcW w:w="1170" w:type="dxa"/>
            <w:hideMark/>
          </w:tcPr>
          <w:p w14:paraId="62EF03F9"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In-depth interviews, focus groups with local residents</w:t>
            </w:r>
          </w:p>
        </w:tc>
        <w:tc>
          <w:tcPr>
            <w:tcW w:w="1350" w:type="dxa"/>
            <w:hideMark/>
          </w:tcPr>
          <w:p w14:paraId="06785395"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 xml:space="preserve">Purposive sampling (adjacent communities); no specific </w:t>
            </w:r>
            <w:r w:rsidRPr="003948E9">
              <w:rPr>
                <w:rFonts w:ascii="Times New Roman" w:hAnsi="Times New Roman" w:cs="Times New Roman"/>
              </w:rPr>
              <w:lastRenderedPageBreak/>
              <w:t>sample size given</w:t>
            </w:r>
          </w:p>
        </w:tc>
        <w:tc>
          <w:tcPr>
            <w:tcW w:w="1080" w:type="dxa"/>
            <w:hideMark/>
          </w:tcPr>
          <w:p w14:paraId="512B32BA"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lastRenderedPageBreak/>
              <w:t>NVivo-assisted thematic analysis</w:t>
            </w:r>
          </w:p>
        </w:tc>
        <w:tc>
          <w:tcPr>
            <w:tcW w:w="1260" w:type="dxa"/>
            <w:hideMark/>
          </w:tcPr>
          <w:p w14:paraId="0145DADF"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Participant-driven narrative quotes and coded themes</w:t>
            </w:r>
          </w:p>
        </w:tc>
        <w:tc>
          <w:tcPr>
            <w:tcW w:w="1530" w:type="dxa"/>
            <w:hideMark/>
          </w:tcPr>
          <w:p w14:paraId="6FEA538F"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Constructivist – focused on lived experiences and perceptions of fairness</w:t>
            </w:r>
          </w:p>
        </w:tc>
        <w:tc>
          <w:tcPr>
            <w:tcW w:w="1980" w:type="dxa"/>
            <w:hideMark/>
          </w:tcPr>
          <w:p w14:paraId="0B9477C9" w14:textId="6454A660"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 xml:space="preserve">They make communities feel marginalised; there must be participative sharing of benefits as a way </w:t>
            </w:r>
            <w:r w:rsidRPr="009663A0">
              <w:rPr>
                <w:rFonts w:ascii="Times New Roman" w:hAnsi="Times New Roman" w:cs="Times New Roman"/>
              </w:rPr>
              <w:lastRenderedPageBreak/>
              <w:t>of ethical practise.</w:t>
            </w:r>
          </w:p>
        </w:tc>
      </w:tr>
      <w:tr w:rsidR="00D8446B" w:rsidRPr="009663A0" w14:paraId="34EE86C6" w14:textId="77777777" w:rsidTr="00613BB0">
        <w:trPr>
          <w:trHeight w:val="4625"/>
        </w:trPr>
        <w:tc>
          <w:tcPr>
            <w:tcW w:w="1350" w:type="dxa"/>
            <w:hideMark/>
          </w:tcPr>
          <w:p w14:paraId="509FDA4F"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lastRenderedPageBreak/>
              <w:t>Kulunge et al. (2025)</w:t>
            </w:r>
          </w:p>
        </w:tc>
        <w:tc>
          <w:tcPr>
            <w:tcW w:w="1080" w:type="dxa"/>
            <w:hideMark/>
          </w:tcPr>
          <w:p w14:paraId="1F86EAEF"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Community-Based Field Study</w:t>
            </w:r>
          </w:p>
        </w:tc>
        <w:tc>
          <w:tcPr>
            <w:tcW w:w="1260" w:type="dxa"/>
            <w:hideMark/>
          </w:tcPr>
          <w:p w14:paraId="15EF8B53"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Mixed Methods</w:t>
            </w:r>
          </w:p>
        </w:tc>
        <w:tc>
          <w:tcPr>
            <w:tcW w:w="1170" w:type="dxa"/>
            <w:hideMark/>
          </w:tcPr>
          <w:p w14:paraId="21C0A0FB"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Surveys with households, interviews with local leaders</w:t>
            </w:r>
          </w:p>
        </w:tc>
        <w:tc>
          <w:tcPr>
            <w:tcW w:w="1350" w:type="dxa"/>
            <w:hideMark/>
          </w:tcPr>
          <w:p w14:paraId="75EC8F01"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Cluster sampling + snowball sampling of stakeholders</w:t>
            </w:r>
          </w:p>
        </w:tc>
        <w:tc>
          <w:tcPr>
            <w:tcW w:w="1080" w:type="dxa"/>
            <w:hideMark/>
          </w:tcPr>
          <w:p w14:paraId="0F3700B1"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Statistical analysis and thematic coding</w:t>
            </w:r>
          </w:p>
        </w:tc>
        <w:tc>
          <w:tcPr>
            <w:tcW w:w="1260" w:type="dxa"/>
            <w:hideMark/>
          </w:tcPr>
          <w:p w14:paraId="4C224C5C"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Thematic groupings, quote blocks, quantitative summaries</w:t>
            </w:r>
          </w:p>
        </w:tc>
        <w:tc>
          <w:tcPr>
            <w:tcW w:w="1530" w:type="dxa"/>
            <w:hideMark/>
          </w:tcPr>
          <w:p w14:paraId="5AD838E4"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Critical Realist – identifies structural barriers to inclusion</w:t>
            </w:r>
          </w:p>
        </w:tc>
        <w:tc>
          <w:tcPr>
            <w:tcW w:w="1980" w:type="dxa"/>
            <w:hideMark/>
          </w:tcPr>
          <w:p w14:paraId="340B6A01" w14:textId="22E74761"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Community participation in wildlife tourism businesses is effective and fair when it is transparent.</w:t>
            </w:r>
          </w:p>
        </w:tc>
      </w:tr>
    </w:tbl>
    <w:p w14:paraId="3DB52EAD" w14:textId="77777777" w:rsidR="00613BB0" w:rsidRPr="003948E9" w:rsidRDefault="00613BB0" w:rsidP="009663A0">
      <w:pPr>
        <w:spacing w:line="480" w:lineRule="auto"/>
        <w:rPr>
          <w:rFonts w:ascii="Times New Roman" w:hAnsi="Times New Roman" w:cs="Times New Roman"/>
          <w:b/>
          <w:bCs/>
        </w:rPr>
      </w:pPr>
    </w:p>
    <w:tbl>
      <w:tblPr>
        <w:tblStyle w:val="TableGrid"/>
        <w:tblW w:w="12107" w:type="dxa"/>
        <w:tblInd w:w="-1355" w:type="dxa"/>
        <w:tblLayout w:type="fixed"/>
        <w:tblLook w:val="04A0" w:firstRow="1" w:lastRow="0" w:firstColumn="1" w:lastColumn="0" w:noHBand="0" w:noVBand="1"/>
      </w:tblPr>
      <w:tblGrid>
        <w:gridCol w:w="1346"/>
        <w:gridCol w:w="1076"/>
        <w:gridCol w:w="1256"/>
        <w:gridCol w:w="1166"/>
        <w:gridCol w:w="1256"/>
        <w:gridCol w:w="1166"/>
        <w:gridCol w:w="1256"/>
        <w:gridCol w:w="1525"/>
        <w:gridCol w:w="2060"/>
      </w:tblGrid>
      <w:tr w:rsidR="00613BB0" w:rsidRPr="009663A0" w14:paraId="276AB5B7" w14:textId="77777777" w:rsidTr="00613BB0">
        <w:trPr>
          <w:trHeight w:val="1177"/>
        </w:trPr>
        <w:tc>
          <w:tcPr>
            <w:tcW w:w="1346" w:type="dxa"/>
            <w:hideMark/>
          </w:tcPr>
          <w:p w14:paraId="6ACC6708"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Author &amp; Year</w:t>
            </w:r>
          </w:p>
        </w:tc>
        <w:tc>
          <w:tcPr>
            <w:tcW w:w="1076" w:type="dxa"/>
            <w:hideMark/>
          </w:tcPr>
          <w:p w14:paraId="3E9982FC"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Methodological Design</w:t>
            </w:r>
          </w:p>
        </w:tc>
        <w:tc>
          <w:tcPr>
            <w:tcW w:w="1256" w:type="dxa"/>
            <w:hideMark/>
          </w:tcPr>
          <w:p w14:paraId="2242D8BD"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Approach</w:t>
            </w:r>
          </w:p>
        </w:tc>
        <w:tc>
          <w:tcPr>
            <w:tcW w:w="1166" w:type="dxa"/>
            <w:hideMark/>
          </w:tcPr>
          <w:p w14:paraId="7981804E"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Methods Used</w:t>
            </w:r>
          </w:p>
        </w:tc>
        <w:tc>
          <w:tcPr>
            <w:tcW w:w="1256" w:type="dxa"/>
            <w:hideMark/>
          </w:tcPr>
          <w:p w14:paraId="782432A2"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Sampling &amp; Size</w:t>
            </w:r>
          </w:p>
        </w:tc>
        <w:tc>
          <w:tcPr>
            <w:tcW w:w="1166" w:type="dxa"/>
            <w:hideMark/>
          </w:tcPr>
          <w:p w14:paraId="1FB76C43"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Analysis Method</w:t>
            </w:r>
          </w:p>
        </w:tc>
        <w:tc>
          <w:tcPr>
            <w:tcW w:w="1256" w:type="dxa"/>
            <w:hideMark/>
          </w:tcPr>
          <w:p w14:paraId="5AC1001C"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Presentation Style</w:t>
            </w:r>
          </w:p>
        </w:tc>
        <w:tc>
          <w:tcPr>
            <w:tcW w:w="1525" w:type="dxa"/>
            <w:hideMark/>
          </w:tcPr>
          <w:p w14:paraId="392E0DBC"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Philosophical Approach</w:t>
            </w:r>
          </w:p>
        </w:tc>
        <w:tc>
          <w:tcPr>
            <w:tcW w:w="2060" w:type="dxa"/>
            <w:hideMark/>
          </w:tcPr>
          <w:p w14:paraId="36D1BDCA" w14:textId="77777777" w:rsidR="00613BB0" w:rsidRPr="003948E9" w:rsidRDefault="00613BB0" w:rsidP="009663A0">
            <w:pPr>
              <w:spacing w:after="160" w:line="360" w:lineRule="auto"/>
              <w:rPr>
                <w:rFonts w:ascii="Times New Roman" w:hAnsi="Times New Roman" w:cs="Times New Roman"/>
                <w:b/>
                <w:bCs/>
              </w:rPr>
            </w:pPr>
            <w:r w:rsidRPr="003948E9">
              <w:rPr>
                <w:rFonts w:ascii="Times New Roman" w:hAnsi="Times New Roman" w:cs="Times New Roman"/>
                <w:b/>
                <w:bCs/>
              </w:rPr>
              <w:t>Key Conclusions</w:t>
            </w:r>
          </w:p>
        </w:tc>
      </w:tr>
      <w:tr w:rsidR="00D8446B" w:rsidRPr="009663A0" w14:paraId="26A9AEFF" w14:textId="77777777" w:rsidTr="00613BB0">
        <w:trPr>
          <w:trHeight w:val="3892"/>
        </w:trPr>
        <w:tc>
          <w:tcPr>
            <w:tcW w:w="1346" w:type="dxa"/>
            <w:hideMark/>
          </w:tcPr>
          <w:p w14:paraId="43CA0453"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t>Amrullah, Sari &amp; Sudarmadji (2025)</w:t>
            </w:r>
          </w:p>
        </w:tc>
        <w:tc>
          <w:tcPr>
            <w:tcW w:w="1076" w:type="dxa"/>
            <w:hideMark/>
          </w:tcPr>
          <w:p w14:paraId="3814ABA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Action Research / Ecosystem-Based Study</w:t>
            </w:r>
          </w:p>
        </w:tc>
        <w:tc>
          <w:tcPr>
            <w:tcW w:w="1256" w:type="dxa"/>
            <w:hideMark/>
          </w:tcPr>
          <w:p w14:paraId="0C094AA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Mixed Methods</w:t>
            </w:r>
          </w:p>
        </w:tc>
        <w:tc>
          <w:tcPr>
            <w:tcW w:w="1166" w:type="dxa"/>
            <w:hideMark/>
          </w:tcPr>
          <w:p w14:paraId="5B80E817"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Site assessments, community workshops, qualitative interviews</w:t>
            </w:r>
          </w:p>
        </w:tc>
        <w:tc>
          <w:tcPr>
            <w:tcW w:w="1256" w:type="dxa"/>
            <w:hideMark/>
          </w:tcPr>
          <w:p w14:paraId="7B549FE1"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Non-probability sampling of community leaders and forestry stakeholders</w:t>
            </w:r>
          </w:p>
        </w:tc>
        <w:tc>
          <w:tcPr>
            <w:tcW w:w="1166" w:type="dxa"/>
            <w:hideMark/>
          </w:tcPr>
          <w:p w14:paraId="78867FA8"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Thematic analysis + spatial ecological mapping</w:t>
            </w:r>
          </w:p>
        </w:tc>
        <w:tc>
          <w:tcPr>
            <w:tcW w:w="1256" w:type="dxa"/>
            <w:hideMark/>
          </w:tcPr>
          <w:p w14:paraId="5ADC5939"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Combination of visual maps, workshop findings, and narrative insights</w:t>
            </w:r>
          </w:p>
        </w:tc>
        <w:tc>
          <w:tcPr>
            <w:tcW w:w="1525" w:type="dxa"/>
            <w:hideMark/>
          </w:tcPr>
          <w:p w14:paraId="5257D006"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Pragmatic/Transformative – integrates action-oriented solutions for community and environment</w:t>
            </w:r>
          </w:p>
        </w:tc>
        <w:tc>
          <w:tcPr>
            <w:tcW w:w="2060" w:type="dxa"/>
            <w:hideMark/>
          </w:tcPr>
          <w:p w14:paraId="0DD45ABD" w14:textId="78845C2B"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Restoration is a type of ecotourism that improves the sustainability, as well as the communities.</w:t>
            </w:r>
          </w:p>
        </w:tc>
      </w:tr>
      <w:tr w:rsidR="00D8446B" w:rsidRPr="009663A0" w14:paraId="428B591F" w14:textId="77777777" w:rsidTr="00613BB0">
        <w:trPr>
          <w:trHeight w:val="2883"/>
        </w:trPr>
        <w:tc>
          <w:tcPr>
            <w:tcW w:w="1346" w:type="dxa"/>
            <w:hideMark/>
          </w:tcPr>
          <w:p w14:paraId="56AB382A"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lastRenderedPageBreak/>
              <w:t>Gonap &amp; Sunday (2025)</w:t>
            </w:r>
          </w:p>
        </w:tc>
        <w:tc>
          <w:tcPr>
            <w:tcW w:w="1076" w:type="dxa"/>
            <w:hideMark/>
          </w:tcPr>
          <w:p w14:paraId="019680B3"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Field-based Applied Study</w:t>
            </w:r>
          </w:p>
        </w:tc>
        <w:tc>
          <w:tcPr>
            <w:tcW w:w="1256" w:type="dxa"/>
            <w:hideMark/>
          </w:tcPr>
          <w:p w14:paraId="05D3F38D"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Qualitative</w:t>
            </w:r>
          </w:p>
        </w:tc>
        <w:tc>
          <w:tcPr>
            <w:tcW w:w="1166" w:type="dxa"/>
            <w:hideMark/>
          </w:tcPr>
          <w:p w14:paraId="2F33154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Observations, interviews with park staff and local residents</w:t>
            </w:r>
          </w:p>
        </w:tc>
        <w:tc>
          <w:tcPr>
            <w:tcW w:w="1256" w:type="dxa"/>
            <w:hideMark/>
          </w:tcPr>
          <w:p w14:paraId="55C34A51"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Purposive sampling of stakeholders in Jos Wildlife Park</w:t>
            </w:r>
          </w:p>
        </w:tc>
        <w:tc>
          <w:tcPr>
            <w:tcW w:w="1166" w:type="dxa"/>
            <w:hideMark/>
          </w:tcPr>
          <w:p w14:paraId="4006EEF6"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Manual coding into sustainability themes</w:t>
            </w:r>
          </w:p>
        </w:tc>
        <w:tc>
          <w:tcPr>
            <w:tcW w:w="1256" w:type="dxa"/>
            <w:hideMark/>
          </w:tcPr>
          <w:p w14:paraId="650A3A51"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Thematic discussion supported by participant narratives</w:t>
            </w:r>
          </w:p>
        </w:tc>
        <w:tc>
          <w:tcPr>
            <w:tcW w:w="1525" w:type="dxa"/>
            <w:hideMark/>
          </w:tcPr>
          <w:p w14:paraId="546C254B"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Interpretivist – explores perceived links between tourism and biodiversity conservation</w:t>
            </w:r>
          </w:p>
        </w:tc>
        <w:tc>
          <w:tcPr>
            <w:tcW w:w="2060" w:type="dxa"/>
            <w:hideMark/>
          </w:tcPr>
          <w:p w14:paraId="53DF8F5A" w14:textId="501FB64B"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Sustainable tourism programmes inculcate conservation and community ownership.</w:t>
            </w:r>
          </w:p>
        </w:tc>
      </w:tr>
      <w:tr w:rsidR="00D8446B" w:rsidRPr="009663A0" w14:paraId="1BB17D3B" w14:textId="77777777" w:rsidTr="00613BB0">
        <w:trPr>
          <w:trHeight w:val="3207"/>
        </w:trPr>
        <w:tc>
          <w:tcPr>
            <w:tcW w:w="1346" w:type="dxa"/>
            <w:hideMark/>
          </w:tcPr>
          <w:p w14:paraId="76E6C38A" w14:textId="64EE4E63"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t>Shimhanda</w:t>
            </w:r>
            <w:r w:rsidR="00FD7933">
              <w:rPr>
                <w:rFonts w:ascii="Times New Roman" w:hAnsi="Times New Roman" w:cs="Times New Roman"/>
                <w:b/>
                <w:bCs/>
              </w:rPr>
              <w:t xml:space="preserve"> et al.</w:t>
            </w:r>
            <w:r w:rsidRPr="003948E9">
              <w:rPr>
                <w:rFonts w:ascii="Times New Roman" w:hAnsi="Times New Roman" w:cs="Times New Roman"/>
                <w:b/>
                <w:bCs/>
              </w:rPr>
              <w:t xml:space="preserve"> (2025)</w:t>
            </w:r>
          </w:p>
        </w:tc>
        <w:tc>
          <w:tcPr>
            <w:tcW w:w="1076" w:type="dxa"/>
            <w:hideMark/>
          </w:tcPr>
          <w:p w14:paraId="0DE877B4"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Stakeholder Analysis</w:t>
            </w:r>
          </w:p>
        </w:tc>
        <w:tc>
          <w:tcPr>
            <w:tcW w:w="1256" w:type="dxa"/>
            <w:hideMark/>
          </w:tcPr>
          <w:p w14:paraId="2A44DD87"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Mixed Methods</w:t>
            </w:r>
          </w:p>
        </w:tc>
        <w:tc>
          <w:tcPr>
            <w:tcW w:w="1166" w:type="dxa"/>
            <w:hideMark/>
          </w:tcPr>
          <w:p w14:paraId="2EF3532B"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Focus groups, structured surveys, interviews</w:t>
            </w:r>
          </w:p>
        </w:tc>
        <w:tc>
          <w:tcPr>
            <w:tcW w:w="1256" w:type="dxa"/>
            <w:hideMark/>
          </w:tcPr>
          <w:p w14:paraId="47CA6B44"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Mixed: purposive sampling of key stakeholders + random community surveys</w:t>
            </w:r>
          </w:p>
        </w:tc>
        <w:tc>
          <w:tcPr>
            <w:tcW w:w="1166" w:type="dxa"/>
            <w:hideMark/>
          </w:tcPr>
          <w:p w14:paraId="3B81F6F4"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Thematic content analysis + descriptive statistics</w:t>
            </w:r>
          </w:p>
        </w:tc>
        <w:tc>
          <w:tcPr>
            <w:tcW w:w="1256" w:type="dxa"/>
            <w:hideMark/>
          </w:tcPr>
          <w:p w14:paraId="03EBD406"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Tables, coded stakeholder maps, participant quotes</w:t>
            </w:r>
          </w:p>
        </w:tc>
        <w:tc>
          <w:tcPr>
            <w:tcW w:w="1525" w:type="dxa"/>
            <w:hideMark/>
          </w:tcPr>
          <w:p w14:paraId="09319471"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Constructivist-Pragmatic – considers social realities and actionable data</w:t>
            </w:r>
          </w:p>
        </w:tc>
        <w:tc>
          <w:tcPr>
            <w:tcW w:w="2060" w:type="dxa"/>
            <w:hideMark/>
          </w:tcPr>
          <w:p w14:paraId="4E18779C" w14:textId="25E5577B"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The presence of stakeholder alignment increases the effectiveness of community-based tourism models.</w:t>
            </w:r>
          </w:p>
        </w:tc>
      </w:tr>
      <w:tr w:rsidR="00D8446B" w:rsidRPr="009663A0" w14:paraId="754B159D" w14:textId="77777777" w:rsidTr="00613BB0">
        <w:trPr>
          <w:trHeight w:val="1693"/>
        </w:trPr>
        <w:tc>
          <w:tcPr>
            <w:tcW w:w="1346" w:type="dxa"/>
            <w:hideMark/>
          </w:tcPr>
          <w:p w14:paraId="031E06F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t>Ngonyani (2025)</w:t>
            </w:r>
          </w:p>
        </w:tc>
        <w:tc>
          <w:tcPr>
            <w:tcW w:w="1076" w:type="dxa"/>
            <w:hideMark/>
          </w:tcPr>
          <w:p w14:paraId="31FD2278"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Sociological Reflection / Qualitative Review</w:t>
            </w:r>
          </w:p>
        </w:tc>
        <w:tc>
          <w:tcPr>
            <w:tcW w:w="1256" w:type="dxa"/>
            <w:hideMark/>
          </w:tcPr>
          <w:p w14:paraId="5720240C"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Qualitative</w:t>
            </w:r>
          </w:p>
        </w:tc>
        <w:tc>
          <w:tcPr>
            <w:tcW w:w="1166" w:type="dxa"/>
            <w:hideMark/>
          </w:tcPr>
          <w:p w14:paraId="0713B1A9"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Content analysis of ecotourism trends, wildlife migration data, and interviews</w:t>
            </w:r>
          </w:p>
        </w:tc>
        <w:tc>
          <w:tcPr>
            <w:tcW w:w="1256" w:type="dxa"/>
            <w:hideMark/>
          </w:tcPr>
          <w:p w14:paraId="199356F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Not specified – interpretive analysis of secondary and qualitative sources</w:t>
            </w:r>
          </w:p>
        </w:tc>
        <w:tc>
          <w:tcPr>
            <w:tcW w:w="1166" w:type="dxa"/>
            <w:hideMark/>
          </w:tcPr>
          <w:p w14:paraId="447B3E62"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Thematic discourse analysis</w:t>
            </w:r>
          </w:p>
        </w:tc>
        <w:tc>
          <w:tcPr>
            <w:tcW w:w="1256" w:type="dxa"/>
            <w:hideMark/>
          </w:tcPr>
          <w:p w14:paraId="4714FF7B"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Reflective narrative; thematic divisions with discussion</w:t>
            </w:r>
          </w:p>
        </w:tc>
        <w:tc>
          <w:tcPr>
            <w:tcW w:w="1525" w:type="dxa"/>
            <w:hideMark/>
          </w:tcPr>
          <w:p w14:paraId="0B99EF46"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Critical Theory / Interpretivist – challenges dominant narratives of ecotourism and development</w:t>
            </w:r>
          </w:p>
        </w:tc>
        <w:tc>
          <w:tcPr>
            <w:tcW w:w="2060" w:type="dxa"/>
            <w:hideMark/>
          </w:tcPr>
          <w:p w14:paraId="2B7CFEE3" w14:textId="12444258"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Demands equity-based policies that would acknowledge the rights of the community and the ecological equilibrium.</w:t>
            </w:r>
          </w:p>
        </w:tc>
      </w:tr>
      <w:tr w:rsidR="00D8446B" w:rsidRPr="009663A0" w14:paraId="49A4DF38" w14:textId="77777777" w:rsidTr="00613BB0">
        <w:trPr>
          <w:trHeight w:val="3892"/>
        </w:trPr>
        <w:tc>
          <w:tcPr>
            <w:tcW w:w="1346" w:type="dxa"/>
            <w:hideMark/>
          </w:tcPr>
          <w:p w14:paraId="5C892F5B" w14:textId="27EAD963"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b/>
                <w:bCs/>
              </w:rPr>
              <w:lastRenderedPageBreak/>
              <w:t>Imbo</w:t>
            </w:r>
            <w:r w:rsidR="00FD7933">
              <w:rPr>
                <w:rFonts w:ascii="Times New Roman" w:hAnsi="Times New Roman" w:cs="Times New Roman"/>
                <w:b/>
                <w:bCs/>
              </w:rPr>
              <w:t xml:space="preserve"> et al.</w:t>
            </w:r>
            <w:r w:rsidRPr="003948E9">
              <w:rPr>
                <w:rFonts w:ascii="Times New Roman" w:hAnsi="Times New Roman" w:cs="Times New Roman"/>
                <w:b/>
                <w:bCs/>
              </w:rPr>
              <w:t xml:space="preserve"> (2025)</w:t>
            </w:r>
          </w:p>
        </w:tc>
        <w:tc>
          <w:tcPr>
            <w:tcW w:w="1076" w:type="dxa"/>
            <w:hideMark/>
          </w:tcPr>
          <w:p w14:paraId="15EA91B3"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Evaluative Case Study</w:t>
            </w:r>
          </w:p>
        </w:tc>
        <w:tc>
          <w:tcPr>
            <w:tcW w:w="1256" w:type="dxa"/>
            <w:hideMark/>
          </w:tcPr>
          <w:p w14:paraId="62E4391F"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Qualitative</w:t>
            </w:r>
          </w:p>
        </w:tc>
        <w:tc>
          <w:tcPr>
            <w:tcW w:w="1166" w:type="dxa"/>
            <w:hideMark/>
          </w:tcPr>
          <w:p w14:paraId="687043D5"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Field observations, participatory evaluation, community narratives</w:t>
            </w:r>
          </w:p>
        </w:tc>
        <w:tc>
          <w:tcPr>
            <w:tcW w:w="1256" w:type="dxa"/>
            <w:hideMark/>
          </w:tcPr>
          <w:p w14:paraId="35E73FF6"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Participatory sampling of Indigenous communities (sample not stated)</w:t>
            </w:r>
          </w:p>
        </w:tc>
        <w:tc>
          <w:tcPr>
            <w:tcW w:w="1166" w:type="dxa"/>
            <w:hideMark/>
          </w:tcPr>
          <w:p w14:paraId="038D8455"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Reflexive thematic analysis</w:t>
            </w:r>
          </w:p>
        </w:tc>
        <w:tc>
          <w:tcPr>
            <w:tcW w:w="1256" w:type="dxa"/>
            <w:hideMark/>
          </w:tcPr>
          <w:p w14:paraId="671A5AB0"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Narrative evaluation structure with clear theme discussion</w:t>
            </w:r>
          </w:p>
        </w:tc>
        <w:tc>
          <w:tcPr>
            <w:tcW w:w="1525" w:type="dxa"/>
            <w:hideMark/>
          </w:tcPr>
          <w:p w14:paraId="7915F969" w14:textId="77777777" w:rsidR="00D8446B" w:rsidRPr="003948E9" w:rsidRDefault="00D8446B" w:rsidP="009663A0">
            <w:pPr>
              <w:spacing w:after="160" w:line="360" w:lineRule="auto"/>
              <w:rPr>
                <w:rFonts w:ascii="Times New Roman" w:hAnsi="Times New Roman" w:cs="Times New Roman"/>
              </w:rPr>
            </w:pPr>
            <w:r w:rsidRPr="003948E9">
              <w:rPr>
                <w:rFonts w:ascii="Times New Roman" w:hAnsi="Times New Roman" w:cs="Times New Roman"/>
              </w:rPr>
              <w:t>Transformative / Decolonial – values Indigenous knowledge and participatory approaches</w:t>
            </w:r>
          </w:p>
        </w:tc>
        <w:tc>
          <w:tcPr>
            <w:tcW w:w="2060" w:type="dxa"/>
            <w:hideMark/>
          </w:tcPr>
          <w:p w14:paraId="5B0E2B6D" w14:textId="43DFC33A" w:rsidR="00D8446B" w:rsidRPr="003948E9" w:rsidRDefault="00D8446B" w:rsidP="009663A0">
            <w:pPr>
              <w:spacing w:after="160" w:line="360" w:lineRule="auto"/>
              <w:rPr>
                <w:rFonts w:ascii="Times New Roman" w:hAnsi="Times New Roman" w:cs="Times New Roman"/>
              </w:rPr>
            </w:pPr>
            <w:r w:rsidRPr="009663A0">
              <w:rPr>
                <w:rFonts w:ascii="Times New Roman" w:hAnsi="Times New Roman" w:cs="Times New Roman"/>
              </w:rPr>
              <w:t>Conservancies ensure the SDG targets and stakeholder empowerment by applying bottom-up governance.</w:t>
            </w:r>
          </w:p>
        </w:tc>
      </w:tr>
    </w:tbl>
    <w:p w14:paraId="55145364" w14:textId="77777777" w:rsidR="00613BB0" w:rsidRPr="009663A0" w:rsidRDefault="00613BB0" w:rsidP="009663A0">
      <w:pPr>
        <w:spacing w:line="480" w:lineRule="auto"/>
        <w:rPr>
          <w:rFonts w:ascii="Times New Roman" w:hAnsi="Times New Roman" w:cs="Times New Roman"/>
        </w:rPr>
      </w:pPr>
    </w:p>
    <w:p w14:paraId="28822D82" w14:textId="2518A513" w:rsidR="00C56EA9" w:rsidRPr="009663A0" w:rsidRDefault="00C56EA9" w:rsidP="009663A0">
      <w:pPr>
        <w:spacing w:before="100" w:beforeAutospacing="1" w:after="100" w:afterAutospacing="1" w:line="480" w:lineRule="auto"/>
        <w:rPr>
          <w:rFonts w:ascii="Times New Roman" w:eastAsia="Times New Roman" w:hAnsi="Times New Roman" w:cs="Times New Roman"/>
          <w:kern w:val="0"/>
          <w14:ligatures w14:val="none"/>
        </w:rPr>
      </w:pPr>
      <w:r w:rsidRPr="009663A0">
        <w:rPr>
          <w:rFonts w:ascii="Times New Roman" w:hAnsi="Times New Roman" w:cs="Times New Roman"/>
          <w:b/>
          <w:bCs/>
          <w:shd w:val="clear" w:color="auto" w:fill="FFFFFF"/>
        </w:rPr>
        <w:t>Summary of the topic</w:t>
      </w:r>
    </w:p>
    <w:p w14:paraId="4296CDA3" w14:textId="0B19CEC1" w:rsidR="00AA0132" w:rsidRPr="009663A0" w:rsidRDefault="00AA0132" w:rsidP="00350818">
      <w:pPr>
        <w:pStyle w:val="NormalWeb"/>
        <w:spacing w:line="480" w:lineRule="auto"/>
        <w:ind w:firstLine="720"/>
      </w:pPr>
      <w:r w:rsidRPr="009663A0">
        <w:t xml:space="preserve">The perception of local communities about ethical wildlife tourism is also key to the emerging debate on responsible development, especially in situations when ecotourism overlaps with biodiversity conservation and socio-economic equity. Throughout the </w:t>
      </w:r>
      <w:r w:rsidRPr="009663A0">
        <w:t>10</w:t>
      </w:r>
      <w:r w:rsidRPr="009663A0">
        <w:t xml:space="preserve"> studies examined, the unifying theme is the fact that community voices, values and lived experiences should shape the evaluation and creation of wildlife tourism models. As an example, Amrullah et al. (2025, p. 4) state that the benefits of ecosystem restoration led by communities do not just increase resilience of the entire environment, but also enhance local ecotourism, whereas Ainomujuni and Twinamatsiko (2025, p. 5) show the problem of unfair distribution of benefits around the conserved spaces. A number of reports highlight the conflict between conservation concerns and local livelihoods particularly under externally managed and exclusionary tourism (Kulunge et al., 2025, p. 7; Shimhanda et al., 2025, p. 3). Others, including Imbo et al. (2025, p. 2), emphasise Indigenous governance by using conservancies as an important tool to align tourism with Sustainable Development Goals. </w:t>
      </w:r>
      <w:r w:rsidRPr="009663A0">
        <w:t>Also</w:t>
      </w:r>
      <w:r w:rsidRPr="009663A0">
        <w:t xml:space="preserve">, John (2026, p. 9) does not subscribe to the discourse of </w:t>
      </w:r>
      <w:r w:rsidRPr="009663A0">
        <w:lastRenderedPageBreak/>
        <w:t xml:space="preserve">the community, he dwells on ecological carrying capacity within a sanctuary and proposes that the idea of sustainability should be anchored in biophysical realities. Nevertheless, the suggestion is evident even here: ethical tourism has to seek compromise between environmental restraint and local good. </w:t>
      </w:r>
    </w:p>
    <w:p w14:paraId="2E5BB783" w14:textId="232690DC" w:rsidR="00AA0132" w:rsidRPr="009663A0" w:rsidRDefault="00AA0132" w:rsidP="00350818">
      <w:pPr>
        <w:pStyle w:val="NormalWeb"/>
        <w:spacing w:line="480" w:lineRule="auto"/>
        <w:ind w:firstLine="720"/>
      </w:pPr>
      <w:r w:rsidRPr="009663A0">
        <w:t>Methodologically, the researches utilise a broad spectrum of research designs dating back to comprehensive qualitative field studies, to ecological analyses, to mixed methods analysis. The most commonly adopted framework is case study design, which enables the researcher to study place-specific phenomena in detail</w:t>
      </w:r>
      <w:r w:rsidR="003C019B" w:rsidRPr="009663A0">
        <w:t xml:space="preserve"> </w:t>
      </w:r>
      <w:r w:rsidR="003C019B" w:rsidRPr="009663A0">
        <w:t>(e.g., Ghasempour et al., 2025, p.115; Gautam et al., 2025, p.3)</w:t>
      </w:r>
      <w:r w:rsidRPr="009663A0">
        <w:t xml:space="preserve">. </w:t>
      </w:r>
      <w:r w:rsidR="00350818">
        <w:t xml:space="preserve">According to </w:t>
      </w:r>
      <w:r w:rsidRPr="009663A0">
        <w:t xml:space="preserve">Ainomujuni and Twinamatsiko (2025, p.4), it is phenomenologically designed to understand subtle perceptions of the community regarding fairness and accessibility of benefits. Mixed methods are used in research like Kulunge et al. (2025, p. 6) and Shimhanda et al. (2025, p. 3) to triangulate the opinion of various stakeholders and use surveys, interviews, and focus groups. Other researchers combine action research with ecosystem-based methods in a unique way where the community participates in the data collection process, but not only in the intervention design process, which is an example of the study as an empowerment tool (Amrullah et al., 2025, p. 5). Conversely, John (2026, p. 7) employs a quantitative and positivist approach, using GIS and environmental data, which may be seen as the methodological difference in the subject. </w:t>
      </w:r>
    </w:p>
    <w:p w14:paraId="0F9BF981" w14:textId="3436DC93" w:rsidR="00AA0132" w:rsidRPr="009663A0" w:rsidRDefault="00AA0132" w:rsidP="00350818">
      <w:pPr>
        <w:pStyle w:val="NormalWeb"/>
        <w:spacing w:line="480" w:lineRule="auto"/>
        <w:ind w:firstLine="720"/>
      </w:pPr>
      <w:r w:rsidRPr="009663A0">
        <w:t xml:space="preserve">Semi-structured interviews, community focus groups and structured household survey are the leading data collection approaches. They are used in a variety of studies such as Gautam et al. (2025, p.5), Shimhanda et al. (2025, p.4), and Gonap and Sunday (2025, p.3) with a tendency to be used together, to construct a stratified knowledge of perceptions, experience and </w:t>
      </w:r>
      <w:r w:rsidRPr="009663A0">
        <w:lastRenderedPageBreak/>
        <w:t xml:space="preserve">expectations. One of the common aspects is that non probability sampling methods, mostly purposive and convenience sampling, have been employed and it is reasonable based on the contextual background and also it is exploratory research. As an illustration, Ainomujuni and Twinamatsiko (2025, p. 4) sample the residents who live in the vicinity of Bwindi National Park, purposely to elicit grounded perceptions of sharing benefits. Thematic analysis is the most common type of analytical tool, used both within software (such as NVivo) and manually </w:t>
      </w:r>
      <w:r w:rsidR="003C019B" w:rsidRPr="009663A0">
        <w:t>(</w:t>
      </w:r>
      <w:r w:rsidRPr="009663A0">
        <w:t>Imbo et al.</w:t>
      </w:r>
      <w:r w:rsidR="003C019B" w:rsidRPr="009663A0">
        <w:t xml:space="preserve">, </w:t>
      </w:r>
      <w:r w:rsidRPr="009663A0">
        <w:t>2025, p. 6). Presentation can be themed and use participant quotes (Gonap and Sunday, 2025, p. 5) or formal and scholarly tables and charts (John, 2026, p. 10). These varied methodologies allow scholars to reflect both the quantitative results and live realities of tourism effects.</w:t>
      </w:r>
    </w:p>
    <w:p w14:paraId="004A1256" w14:textId="64FFCAC7" w:rsidR="00613BB0" w:rsidRPr="009663A0" w:rsidRDefault="00AA0132" w:rsidP="00350818">
      <w:pPr>
        <w:pStyle w:val="NormalWeb"/>
        <w:spacing w:line="480" w:lineRule="auto"/>
        <w:ind w:firstLine="720"/>
      </w:pPr>
      <w:r w:rsidRPr="009663A0">
        <w:t xml:space="preserve">Philosophically, the research is based on interpretivist or constructivist paradigms, which corresponds with their emphasis on the community perceptions and the social-political complexity. As an example, Ghasempour et al. (2025, p. 117) use an interpretivist approach examining the understanding of training programmes about tourism guides by stakeholders in Iran. Such studies as Shimhanda et al. (2025, p.4) and Imbo et al. (2025, p.5) adopt a more transformative and decolonial philosophical approach, preempting local and Indigenous knowledge systems as acceptable knowledge sources. Though realist in the approach, Kulunge et al. (2025, p. 6) represent a critical realist approach – recognising both the material structures and the social understandings that mediate wildlife tourism alliances. Alternatively, John (2026, p. 7) takes a distinctly positivist approach where ecological indicators are more favoured over social storeys. The other studies address these gaps by pragmatism and adopt the best methods to address the local situation and the research objectives. The ethnographic research on the ethical wildlife tourism needs to have balancing of contextual sensitivity and analytical rigour with </w:t>
      </w:r>
      <w:r w:rsidRPr="009663A0">
        <w:lastRenderedPageBreak/>
        <w:t>methods picked not only in technical terms but also in terms of their correspondence with the research values and positionality.</w:t>
      </w:r>
    </w:p>
    <w:p w14:paraId="363EF886" w14:textId="5EDA012A" w:rsidR="00CF17AF" w:rsidRPr="00CF17AF" w:rsidRDefault="00CF17AF" w:rsidP="009663A0">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F17AF">
        <w:rPr>
          <w:rFonts w:ascii="Times New Roman" w:eastAsia="Times New Roman" w:hAnsi="Times New Roman" w:cs="Times New Roman"/>
          <w:b/>
          <w:bCs/>
          <w:kern w:val="0"/>
          <w14:ligatures w14:val="none"/>
        </w:rPr>
        <w:t>Philosophical Approaches</w:t>
      </w:r>
    </w:p>
    <w:p w14:paraId="1D2C1F32" w14:textId="77777777" w:rsidR="00D72728" w:rsidRPr="009663A0" w:rsidRDefault="00D72728" w:rsidP="009663A0">
      <w:pPr>
        <w:pStyle w:val="NormalWeb"/>
        <w:spacing w:line="480" w:lineRule="auto"/>
        <w:rPr>
          <w:b/>
          <w:bCs/>
        </w:rPr>
      </w:pPr>
      <w:r w:rsidRPr="009663A0">
        <w:rPr>
          <w:b/>
          <w:bCs/>
        </w:rPr>
        <w:t>Strengths:</w:t>
      </w:r>
    </w:p>
    <w:p w14:paraId="40B58340" w14:textId="012BE3D4" w:rsidR="00D72728" w:rsidRPr="009663A0" w:rsidRDefault="00D72728" w:rsidP="00350818">
      <w:pPr>
        <w:pStyle w:val="NormalWeb"/>
        <w:spacing w:line="480" w:lineRule="auto"/>
        <w:ind w:firstLine="720"/>
      </w:pPr>
      <w:r w:rsidRPr="009663A0">
        <w:t>Positivism, used by John (2026), is also helpful in ecological research specifically when the purpose is to determine ecological parameters including carrying capacity. It offers empirically valid and replicable information which can be used to inform wildlife policy and structuring of infrastructure. Its objectivity and dependence on empirical evidence make it suitable in generating generalisable information in similar-protected areas. Conversely, Ainomujuni and Twinamatsiko (2025) and Imbo et al. (2025) expose interpretivist and constructivist paradigms that are the best to reveal local perceptions and lived experiences. Such paradigms enable the researcher to comprehend how community members make meaning of tourism practices, with the voices of the marginalised populations being central. Constructivist approaches are also in line with the goals of participatory, decolonial research, allow a bottom-up approach to responsible tourism development</w:t>
      </w:r>
      <w:r w:rsidR="001A0018" w:rsidRPr="009663A0">
        <w:t xml:space="preserve"> (</w:t>
      </w:r>
      <w:r w:rsidR="001A0018" w:rsidRPr="009663A0">
        <w:t>Amrullah et al.</w:t>
      </w:r>
      <w:r w:rsidR="001A0018" w:rsidRPr="009663A0">
        <w:t xml:space="preserve">, </w:t>
      </w:r>
      <w:r w:rsidR="001A0018" w:rsidRPr="009663A0">
        <w:t>2025)</w:t>
      </w:r>
      <w:r w:rsidRPr="009663A0">
        <w:t>.</w:t>
      </w:r>
    </w:p>
    <w:p w14:paraId="0E791009" w14:textId="77777777" w:rsidR="00D72728" w:rsidRPr="009663A0" w:rsidRDefault="00D72728" w:rsidP="009663A0">
      <w:pPr>
        <w:pStyle w:val="NormalWeb"/>
        <w:spacing w:line="480" w:lineRule="auto"/>
        <w:rPr>
          <w:b/>
          <w:bCs/>
        </w:rPr>
      </w:pPr>
      <w:r w:rsidRPr="009663A0">
        <w:rPr>
          <w:b/>
          <w:bCs/>
        </w:rPr>
        <w:t>Weaknesses:</w:t>
      </w:r>
    </w:p>
    <w:p w14:paraId="5568DE51" w14:textId="77777777" w:rsidR="00D72728" w:rsidRPr="009663A0" w:rsidRDefault="00D72728" w:rsidP="00350818">
      <w:pPr>
        <w:pStyle w:val="NormalWeb"/>
        <w:spacing w:line="480" w:lineRule="auto"/>
        <w:ind w:firstLine="720"/>
      </w:pPr>
      <w:r w:rsidRPr="009663A0">
        <w:t xml:space="preserve">In spite of this strength, positivism may not take into consideration strategic socio-cultural and moral aspects of wildlife tourism. According to Grix (2010, p. 74), these strategies can over-look the interpretative quality of human behaviour in that local communities are viewed as data points but not social actors. This was witnessed in John (2026), where the research did not provide in-depth data on communal attitudes. On the other hand, interpretivist and </w:t>
      </w:r>
      <w:r w:rsidRPr="009663A0">
        <w:lastRenderedPageBreak/>
        <w:t>constructivist methods are not usually generalisable because data are contextual. According to Saunders et al. (2023, p.150), researcher bias and subjectivity may affect the results, particularly when the researcher is immersed in the field. Also, it takes time to gain trust in communities towards these paradigms, and subjective interpretations can give conflicting results.</w:t>
      </w:r>
    </w:p>
    <w:p w14:paraId="3325BA58" w14:textId="77777777" w:rsidR="00D72728" w:rsidRPr="009663A0" w:rsidRDefault="00D72728" w:rsidP="009663A0">
      <w:pPr>
        <w:pStyle w:val="NormalWeb"/>
        <w:spacing w:line="480" w:lineRule="auto"/>
        <w:rPr>
          <w:b/>
          <w:bCs/>
        </w:rPr>
      </w:pPr>
      <w:r w:rsidRPr="009663A0">
        <w:rPr>
          <w:b/>
          <w:bCs/>
        </w:rPr>
        <w:t>Methodological Approaches</w:t>
      </w:r>
    </w:p>
    <w:p w14:paraId="496A918B" w14:textId="77777777" w:rsidR="00D72728" w:rsidRPr="009663A0" w:rsidRDefault="00D72728" w:rsidP="009663A0">
      <w:pPr>
        <w:pStyle w:val="NormalWeb"/>
        <w:spacing w:line="480" w:lineRule="auto"/>
        <w:rPr>
          <w:b/>
          <w:bCs/>
        </w:rPr>
      </w:pPr>
      <w:r w:rsidRPr="009663A0">
        <w:rPr>
          <w:b/>
          <w:bCs/>
        </w:rPr>
        <w:t>Strengths:</w:t>
      </w:r>
    </w:p>
    <w:p w14:paraId="185E5797" w14:textId="579EBE70" w:rsidR="00D72728" w:rsidRPr="009663A0" w:rsidRDefault="00D72728" w:rsidP="00350818">
      <w:pPr>
        <w:pStyle w:val="NormalWeb"/>
        <w:spacing w:line="480" w:lineRule="auto"/>
        <w:ind w:firstLine="720"/>
      </w:pPr>
      <w:r w:rsidRPr="009663A0">
        <w:t xml:space="preserve">The most common </w:t>
      </w:r>
      <w:r w:rsidR="001A0018" w:rsidRPr="009663A0">
        <w:t>ones were</w:t>
      </w:r>
      <w:r w:rsidRPr="009663A0">
        <w:t xml:space="preserve"> qualitative methodologies applicable to grasping the perceptions, values and emotions communities associate with tourism and conservation</w:t>
      </w:r>
      <w:r w:rsidR="001A0018" w:rsidRPr="009663A0">
        <w:t xml:space="preserve"> </w:t>
      </w:r>
      <w:r w:rsidR="001A0018" w:rsidRPr="009663A0">
        <w:t>(Ainomujuni and Twinamatsiko, 2025; Imbo et al., 2025)</w:t>
      </w:r>
      <w:r w:rsidRPr="009663A0">
        <w:t>. They enable researchers to explore the depths of their responses in revealing the way tourism practise is enmeshed in identity, history and livelihood. Quantitative techniques like those applied in John (2026)</w:t>
      </w:r>
      <w:r w:rsidR="001A0018" w:rsidRPr="009663A0">
        <w:t>,</w:t>
      </w:r>
      <w:r w:rsidRPr="009663A0">
        <w:t xml:space="preserve"> provide formal and standardised outcomes that can be used in large-scale policy-making. They work well especially when evaluating the environmental data or behavioural trend. Mixed methods such as those by Kulunge et al. (2025) and Shimhanda et al. (2025) balance these advantages, allowing researchers to cross-verify each other and commit results by methodological triangulation (Bryman, 2016, p. 624).</w:t>
      </w:r>
    </w:p>
    <w:p w14:paraId="76530A61" w14:textId="77777777" w:rsidR="00D72728" w:rsidRPr="009663A0" w:rsidRDefault="00D72728" w:rsidP="009663A0">
      <w:pPr>
        <w:pStyle w:val="NormalWeb"/>
        <w:spacing w:line="480" w:lineRule="auto"/>
        <w:rPr>
          <w:b/>
          <w:bCs/>
        </w:rPr>
      </w:pPr>
      <w:r w:rsidRPr="009663A0">
        <w:rPr>
          <w:b/>
          <w:bCs/>
        </w:rPr>
        <w:t>Weaknesses:</w:t>
      </w:r>
    </w:p>
    <w:p w14:paraId="061094EF" w14:textId="77777777" w:rsidR="0018696F" w:rsidRDefault="00D72728" w:rsidP="0018696F">
      <w:pPr>
        <w:pStyle w:val="NormalWeb"/>
        <w:spacing w:line="480" w:lineRule="auto"/>
        <w:ind w:firstLine="720"/>
      </w:pPr>
      <w:r w:rsidRPr="009663A0">
        <w:t>The rich qualitative research may be time consuming and not standardised. The impossibility of replicating findings poses reliability issues. Also, it is subjective especially when interpreting data</w:t>
      </w:r>
      <w:r w:rsidR="001A0018" w:rsidRPr="009663A0">
        <w:t>,</w:t>
      </w:r>
      <w:r w:rsidRPr="009663A0">
        <w:t xml:space="preserve"> which could introduce biases without reflexivity. </w:t>
      </w:r>
      <w:r w:rsidR="0018696F">
        <w:t xml:space="preserve">The quantitative approaches may be unable to reflect cultural nuances and authority, the focus on the physical tourism </w:t>
      </w:r>
      <w:r w:rsidR="0018696F">
        <w:lastRenderedPageBreak/>
        <w:t>capacity skips emotions of the community (John, 2026). Mixed methods are resource intensive and require advanced research design in order to enable them to blend data in a congruent way. Quantitative and qualitative strands fail to coincide well, and thus without them, the two types of data will not be compatible and can erase each other (Bryman, 2016, p. 624).</w:t>
      </w:r>
    </w:p>
    <w:p w14:paraId="1B33E82C" w14:textId="77777777" w:rsidR="0018696F" w:rsidRPr="0018696F" w:rsidRDefault="0018696F" w:rsidP="0018696F">
      <w:pPr>
        <w:pStyle w:val="NormalWeb"/>
        <w:spacing w:line="480" w:lineRule="auto"/>
        <w:rPr>
          <w:b/>
          <w:bCs/>
        </w:rPr>
      </w:pPr>
      <w:r w:rsidRPr="0018696F">
        <w:rPr>
          <w:b/>
          <w:bCs/>
        </w:rPr>
        <w:t xml:space="preserve">Methods Used </w:t>
      </w:r>
    </w:p>
    <w:p w14:paraId="3A56DEA6" w14:textId="2041625D" w:rsidR="0018696F" w:rsidRPr="0018696F" w:rsidRDefault="0018696F" w:rsidP="0018696F">
      <w:pPr>
        <w:pStyle w:val="NormalWeb"/>
        <w:spacing w:line="480" w:lineRule="auto"/>
        <w:rPr>
          <w:b/>
          <w:bCs/>
        </w:rPr>
      </w:pPr>
      <w:r w:rsidRPr="0018696F">
        <w:rPr>
          <w:b/>
          <w:bCs/>
        </w:rPr>
        <w:t>Strengths:</w:t>
      </w:r>
    </w:p>
    <w:p w14:paraId="6C8B0430" w14:textId="5B1DBB66" w:rsidR="00D72728" w:rsidRPr="009663A0" w:rsidRDefault="0018696F" w:rsidP="0018696F">
      <w:pPr>
        <w:pStyle w:val="NormalWeb"/>
        <w:spacing w:line="480" w:lineRule="auto"/>
        <w:ind w:firstLine="720"/>
      </w:pPr>
      <w:r>
        <w:t xml:space="preserve">Semi-structured interview </w:t>
      </w:r>
      <w:r w:rsidR="006B2EE4">
        <w:t>technique</w:t>
      </w:r>
      <w:r>
        <w:t>, which most studies employ has the advantage of flexibility and, therefore, thematic consistency, allowing a whole-of-community-perception analysis</w:t>
      </w:r>
      <w:r>
        <w:t xml:space="preserve"> </w:t>
      </w:r>
      <w:r>
        <w:t xml:space="preserve">(Imbo et al., 2025). This would facilitate rapport and trust that is deserving in sensitive cultural contexts. Focus groups, used by Ainomujuni and Twinamatsiko (2025), encourage co-creation of meanings and is an indication of consensus or absence of shared sense within the community. </w:t>
      </w:r>
      <w:r w:rsidR="00D72728" w:rsidRPr="009663A0">
        <w:t>Questionnaires and surveys adopted by Kulunge et al. (2025) enable researchers to collect sufficient data, which can indicate trends among various stakeholder groups. GIS and ecological tools used in John (2026) are useful in mapping physical landscapes and physical dynamics of wildlife tourism.</w:t>
      </w:r>
    </w:p>
    <w:p w14:paraId="2C2C9C20" w14:textId="77777777" w:rsidR="00D72728" w:rsidRPr="009663A0" w:rsidRDefault="00D72728" w:rsidP="009663A0">
      <w:pPr>
        <w:pStyle w:val="NormalWeb"/>
        <w:spacing w:line="480" w:lineRule="auto"/>
        <w:rPr>
          <w:b/>
          <w:bCs/>
        </w:rPr>
      </w:pPr>
      <w:r w:rsidRPr="009663A0">
        <w:rPr>
          <w:b/>
          <w:bCs/>
        </w:rPr>
        <w:t>Weaknesses:</w:t>
      </w:r>
    </w:p>
    <w:p w14:paraId="466E46AD" w14:textId="77777777" w:rsidR="00D72728" w:rsidRPr="009663A0" w:rsidRDefault="00D72728" w:rsidP="00350818">
      <w:pPr>
        <w:pStyle w:val="NormalWeb"/>
        <w:spacing w:line="480" w:lineRule="auto"/>
        <w:ind w:firstLine="720"/>
      </w:pPr>
      <w:r w:rsidRPr="009663A0">
        <w:t xml:space="preserve">Interviews and focus group are very vulnerable to the moderator, and poor moderator might bring bias or prevent effective discussion. They are also labour-intensive both in the conduct and in the analysis. Thematic coding, translation, and transcription take a lot of time and can influence the integrity of data. Although scalable, surveys are often shallow and question wording is easily influenced. Written surveys can also be inaccessible, which leads to sample </w:t>
      </w:r>
      <w:r w:rsidRPr="009663A0">
        <w:lastRenderedPageBreak/>
        <w:t>bias in a low-literacy environment. GIS and technical mapping techniques tend to put ecological data in high regard as compared to human experience. Such positivist tools may dehumanise participants unless they are contextualised using participatory or narrative methods (Walle, 1997, p. 525).</w:t>
      </w:r>
    </w:p>
    <w:p w14:paraId="0F9A2687" w14:textId="77777777" w:rsidR="00D72728" w:rsidRPr="009663A0" w:rsidRDefault="00D72728" w:rsidP="009663A0">
      <w:pPr>
        <w:pStyle w:val="NormalWeb"/>
        <w:spacing w:line="480" w:lineRule="auto"/>
        <w:rPr>
          <w:b/>
          <w:bCs/>
        </w:rPr>
      </w:pPr>
      <w:r w:rsidRPr="009663A0">
        <w:rPr>
          <w:b/>
          <w:bCs/>
        </w:rPr>
        <w:t xml:space="preserve">Sampling Strategies </w:t>
      </w:r>
    </w:p>
    <w:p w14:paraId="27C4CE0E" w14:textId="77777777" w:rsidR="00D72728" w:rsidRPr="009663A0" w:rsidRDefault="00D72728" w:rsidP="009663A0">
      <w:pPr>
        <w:pStyle w:val="NormalWeb"/>
        <w:spacing w:line="480" w:lineRule="auto"/>
        <w:rPr>
          <w:b/>
          <w:bCs/>
        </w:rPr>
      </w:pPr>
      <w:r w:rsidRPr="009663A0">
        <w:rPr>
          <w:b/>
          <w:bCs/>
        </w:rPr>
        <w:t>Strengths:</w:t>
      </w:r>
    </w:p>
    <w:p w14:paraId="4421ADBA" w14:textId="7784F7BD" w:rsidR="00D72728" w:rsidRPr="009663A0" w:rsidRDefault="00D72728" w:rsidP="00350818">
      <w:pPr>
        <w:pStyle w:val="NormalWeb"/>
        <w:spacing w:line="480" w:lineRule="auto"/>
        <w:ind w:firstLine="720"/>
      </w:pPr>
      <w:r w:rsidRPr="009663A0">
        <w:t>The studies reviewed employed purposive and convenience sampling, and although not statistically representative, both methods are appropriate in qualitative inquiry. Ainomujuni and Twinamatsiko (2025), who chose respondents residing next to the Bwindi National Park, which was relevant and comprehensive. These methods are feasible with remote or politically sensitive areas, where randomised sampling is not possible. Smaller samples are criticised but can offer greater interaction with the participants, enriching insights. It is especially effective in interpretivist studies where quality is more important than quantity.</w:t>
      </w:r>
    </w:p>
    <w:p w14:paraId="5B128CB7" w14:textId="77777777" w:rsidR="00D72728" w:rsidRPr="009663A0" w:rsidRDefault="00D72728" w:rsidP="009663A0">
      <w:pPr>
        <w:pStyle w:val="NormalWeb"/>
        <w:spacing w:line="480" w:lineRule="auto"/>
        <w:rPr>
          <w:b/>
          <w:bCs/>
        </w:rPr>
      </w:pPr>
      <w:r w:rsidRPr="009663A0">
        <w:rPr>
          <w:b/>
          <w:bCs/>
        </w:rPr>
        <w:t>Weaknesses:</w:t>
      </w:r>
    </w:p>
    <w:p w14:paraId="71AD21A4" w14:textId="77777777" w:rsidR="00D72728" w:rsidRPr="009663A0" w:rsidRDefault="00D72728" w:rsidP="00350818">
      <w:pPr>
        <w:pStyle w:val="NormalWeb"/>
        <w:spacing w:line="480" w:lineRule="auto"/>
        <w:ind w:firstLine="720"/>
      </w:pPr>
      <w:r w:rsidRPr="009663A0">
        <w:t>The primary weakness of non-probability sampling is unrepresentativeness. Reliable results cannot be inferred to larger groups of people. Saunders et al. (2023, p. 312) observe that these methods can support bias of the researcher when selecting the participants which could lead to the biasness of the outcome. Also, most of the studies reviewed failed to specify their sampling procedures or sample size and it was not easy to determine reliability and ethical rigour. Such a lack of transparency compromises confidence in results and the best practice of methodological reporting.</w:t>
      </w:r>
    </w:p>
    <w:p w14:paraId="19F096A1" w14:textId="77777777" w:rsidR="00D72728" w:rsidRPr="009663A0" w:rsidRDefault="00D72728" w:rsidP="009663A0">
      <w:pPr>
        <w:pStyle w:val="NormalWeb"/>
        <w:spacing w:line="480" w:lineRule="auto"/>
        <w:rPr>
          <w:b/>
          <w:bCs/>
        </w:rPr>
      </w:pPr>
      <w:r w:rsidRPr="009663A0">
        <w:rPr>
          <w:b/>
          <w:bCs/>
        </w:rPr>
        <w:lastRenderedPageBreak/>
        <w:t>Data Analysis Techniques</w:t>
      </w:r>
    </w:p>
    <w:p w14:paraId="3DCF5051" w14:textId="77777777" w:rsidR="00D72728" w:rsidRPr="009663A0" w:rsidRDefault="00D72728" w:rsidP="009663A0">
      <w:pPr>
        <w:pStyle w:val="NormalWeb"/>
        <w:spacing w:line="480" w:lineRule="auto"/>
        <w:rPr>
          <w:b/>
          <w:bCs/>
        </w:rPr>
      </w:pPr>
      <w:r w:rsidRPr="009663A0">
        <w:rPr>
          <w:b/>
          <w:bCs/>
        </w:rPr>
        <w:t>Strengths:</w:t>
      </w:r>
    </w:p>
    <w:p w14:paraId="5549053F" w14:textId="39FC4C51" w:rsidR="00D72728" w:rsidRPr="009663A0" w:rsidRDefault="00D72728" w:rsidP="00350818">
      <w:pPr>
        <w:pStyle w:val="NormalWeb"/>
        <w:spacing w:line="480" w:lineRule="auto"/>
        <w:ind w:firstLine="720"/>
      </w:pPr>
      <w:r w:rsidRPr="009663A0">
        <w:t>A thematic analysis</w:t>
      </w:r>
      <w:r w:rsidR="001A0018" w:rsidRPr="009663A0">
        <w:t xml:space="preserve"> </w:t>
      </w:r>
      <w:r w:rsidRPr="009663A0">
        <w:t>is a flexible and formal method of systematising qualitative data</w:t>
      </w:r>
      <w:r w:rsidR="001A0018" w:rsidRPr="009663A0">
        <w:t xml:space="preserve"> </w:t>
      </w:r>
      <w:r w:rsidR="001A0018" w:rsidRPr="009663A0">
        <w:t>Gautam et al.</w:t>
      </w:r>
      <w:r w:rsidR="001A0018" w:rsidRPr="009663A0">
        <w:t xml:space="preserve">, </w:t>
      </w:r>
      <w:r w:rsidR="001A0018" w:rsidRPr="009663A0">
        <w:t>2025)</w:t>
      </w:r>
      <w:r w:rsidRPr="009663A0">
        <w:t>. It enables researchers to spot patterns and get the underlying meaning of narratives of participants. Such descriptive statistics can be used to explain trends and make decisions in the management of wildlife tourism</w:t>
      </w:r>
      <w:r w:rsidR="001A0018" w:rsidRPr="009663A0">
        <w:t xml:space="preserve"> (</w:t>
      </w:r>
      <w:r w:rsidR="001A0018" w:rsidRPr="009663A0">
        <w:t>John</w:t>
      </w:r>
      <w:r w:rsidR="001A0018" w:rsidRPr="009663A0">
        <w:t xml:space="preserve">, </w:t>
      </w:r>
      <w:r w:rsidR="001A0018" w:rsidRPr="009663A0">
        <w:t>2026)</w:t>
      </w:r>
      <w:r w:rsidRPr="009663A0">
        <w:t>. Narrative inquiry can offer a deeper analysis of individual storeys, which would eloquently represent the real experience of tourism policies (Imbo et al., 2025). Use of coding and categorisation systems in a rigorous manner empowers qualitative validity.</w:t>
      </w:r>
    </w:p>
    <w:p w14:paraId="6D5B2936" w14:textId="77777777" w:rsidR="00D72728" w:rsidRPr="009663A0" w:rsidRDefault="00D72728" w:rsidP="009663A0">
      <w:pPr>
        <w:pStyle w:val="NormalWeb"/>
        <w:spacing w:line="480" w:lineRule="auto"/>
        <w:rPr>
          <w:b/>
          <w:bCs/>
        </w:rPr>
      </w:pPr>
      <w:r w:rsidRPr="009663A0">
        <w:rPr>
          <w:b/>
          <w:bCs/>
        </w:rPr>
        <w:t>Weaknesses:</w:t>
      </w:r>
    </w:p>
    <w:p w14:paraId="789345D6" w14:textId="52C62D39" w:rsidR="00613BB0" w:rsidRPr="009663A0" w:rsidRDefault="00D72728" w:rsidP="00350818">
      <w:pPr>
        <w:pStyle w:val="NormalWeb"/>
        <w:spacing w:line="480" w:lineRule="auto"/>
        <w:ind w:firstLine="720"/>
      </w:pPr>
      <w:r w:rsidRPr="009663A0">
        <w:t>Thematic analysis may bring subjectivity, particularly when the codes are researcher-based, not participant-based. Inter-coder reliability is almost never referenced, and, therefore, it is hard to check consistency. According to Bell et al. (2022), qualitative coding that is not transparent might have unconscious biases. Although statistical analysis may appear objective, it is not always an inferential analysis but rather a descriptive one. Most of the studies had simple counts of frequencies without any powerful statistical tests. Lastly, discourse analysis, which can be useful in criticising power structures in tourism discourses, was significantly missing in all 10 studies. This exclusion restricts critical interpretation of the input language into understandings of conservation and responsibility (Bryman, 2016, p. 561).</w:t>
      </w:r>
    </w:p>
    <w:p w14:paraId="36854DCA" w14:textId="5CEF08D4" w:rsidR="00006648" w:rsidRPr="00006648" w:rsidRDefault="00006648" w:rsidP="009663A0">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006648">
        <w:rPr>
          <w:rFonts w:ascii="Times New Roman" w:eastAsia="Times New Roman" w:hAnsi="Times New Roman" w:cs="Times New Roman"/>
          <w:b/>
          <w:bCs/>
          <w:kern w:val="0"/>
          <w14:ligatures w14:val="none"/>
        </w:rPr>
        <w:t>Argument for the Most Appropriate Metho</w:t>
      </w:r>
      <w:r w:rsidRPr="009663A0">
        <w:rPr>
          <w:rFonts w:ascii="Times New Roman" w:eastAsia="Times New Roman" w:hAnsi="Times New Roman" w:cs="Times New Roman"/>
          <w:b/>
          <w:bCs/>
          <w:kern w:val="0"/>
          <w14:ligatures w14:val="none"/>
        </w:rPr>
        <w:t>d</w:t>
      </w:r>
    </w:p>
    <w:p w14:paraId="0A66AB3E" w14:textId="77777777" w:rsidR="00FF3C2D" w:rsidRPr="009663A0" w:rsidRDefault="00FF3C2D" w:rsidP="00350818">
      <w:pPr>
        <w:pStyle w:val="NormalWeb"/>
        <w:spacing w:line="480" w:lineRule="auto"/>
        <w:ind w:firstLine="720"/>
      </w:pPr>
      <w:r w:rsidRPr="009663A0">
        <w:lastRenderedPageBreak/>
        <w:t>Due to the subtle, place-based, and subjective nature of community perceptions of ethical wildlife tourism, the most suitable research methodology is a qualitative, interpretivist one that employs semi-structured interviews. According to the earlier studies, like Ainomujuni and Twinamatsiko (2025, p. 11), these perceptions are both enacted in lived experience and meaningful to socio-cultural, historical, and ecological contexts. They are typically surveys or designed questionnaires that are effective as general trail indicators, but this does not capture the stratifications that communities project upon tourism, conservation and development. The interpretivist paradigm provides the researcher with the opportunity to establish meaning with the participants co-creating a type of dialogue that represents the variety of worldviews. This is particularly relevant in the study of communities around the circumference of the protected areas, which might have conflicting or hybridised conceptions of what constitutes ethical tourism. According to Grix (2010, p. 74), interpretivism acknowledges the socially created character of knowledge and is best applied in discovering perceptions, emotions, and values, which are core in this investigation.</w:t>
      </w:r>
    </w:p>
    <w:p w14:paraId="1FC4264B" w14:textId="77777777" w:rsidR="00FF3C2D" w:rsidRPr="009663A0" w:rsidRDefault="00FF3C2D" w:rsidP="00350818">
      <w:pPr>
        <w:pStyle w:val="NormalWeb"/>
        <w:spacing w:line="480" w:lineRule="auto"/>
        <w:ind w:firstLine="720"/>
      </w:pPr>
      <w:r w:rsidRPr="009663A0">
        <w:t xml:space="preserve">In addition, semi-structured interviews are flexible and provide the depth needed to unfold </w:t>
      </w:r>
      <w:r w:rsidRPr="00350818">
        <w:t>narratives of community where the cultural identity and livelihood of the community are tangled</w:t>
      </w:r>
      <w:r w:rsidRPr="009663A0">
        <w:t xml:space="preserve"> with tourism. Such interviews are characterised by consistency among different participants and flexibility to new themes (Imbo et al., 2025). Contrary to structured surveys, whose responses are limited to a set of options, the semi-structured interview enables the respondents to speak out and raise concerns that the researcher had not previously envisaged. Thematic analysis, which is commonly applied to this group of interviews, helps researchers to structure results without losing the voices of the participants (Gautam et al., 2025). Some people might express the concern that qualitative research cannot be generalised, but this is not the </w:t>
      </w:r>
      <w:r w:rsidRPr="009663A0">
        <w:lastRenderedPageBreak/>
        <w:t>intention of the research, and the focus is on the richness and diversity of opinions. Such approaches are best suited to inquire into attitudes and behaviours in under-researched or marginalised groups (Saunders et al., 2023, p. 150). Also, the level of trust required to conduct interviews corresponds with ethical ideals of community-based research.</w:t>
      </w:r>
    </w:p>
    <w:p w14:paraId="42FDCAA3" w14:textId="77777777" w:rsidR="00FF3C2D" w:rsidRPr="009663A0" w:rsidRDefault="00FF3C2D" w:rsidP="00350818">
      <w:pPr>
        <w:pStyle w:val="NormalWeb"/>
        <w:spacing w:line="480" w:lineRule="auto"/>
        <w:ind w:firstLine="720"/>
      </w:pPr>
      <w:r w:rsidRPr="009663A0">
        <w:t>Although mixed methods might provide increased applicability and triangulation in future large-scale research, it is currently less viable due to time, resource, and scope constraints. Mixed designs also necessitate complicated integration tactics and analytical mastery which can generalise the insights attainable in a completely qualitative viewpoint (Bryman, 2016, p. 624). Additionally, ethical tourism research should focus on voices at the bottom; and it is best produced through open interpretive approaches, but not a strict set of metrics (Lee and Jan, 2022, p. 1984). Issues of power relations, cultural sensibility, and community agency are not easily quantified by means of the quantitative survey. Alternatively, prioritising qualitative interviews considers participant autonomy and it allows room to reflexivity, an important factor in ethical research design and responsible tourism practice. Finally, qualitative, interpretivism methodology with semi-structured interviews is a methodical choice that resonates with the purpose of the research, which is to learn how the local communities view and experience the nature of the ethics and effects of wildlife tourism.</w:t>
      </w:r>
    </w:p>
    <w:p w14:paraId="1D539C52" w14:textId="77777777" w:rsidR="00FF3C2D" w:rsidRPr="009663A0" w:rsidRDefault="00FF3C2D" w:rsidP="009663A0">
      <w:pPr>
        <w:pStyle w:val="NormalWeb"/>
        <w:spacing w:line="480" w:lineRule="auto"/>
        <w:rPr>
          <w:b/>
          <w:bCs/>
        </w:rPr>
      </w:pPr>
      <w:r w:rsidRPr="009663A0">
        <w:rPr>
          <w:b/>
          <w:bCs/>
        </w:rPr>
        <w:t>Conclusion</w:t>
      </w:r>
    </w:p>
    <w:p w14:paraId="2BA0A5BF" w14:textId="77777777" w:rsidR="00FF3C2D" w:rsidRPr="009663A0" w:rsidRDefault="00FF3C2D" w:rsidP="00350818">
      <w:pPr>
        <w:pStyle w:val="NormalWeb"/>
        <w:spacing w:line="480" w:lineRule="auto"/>
        <w:ind w:firstLine="720"/>
      </w:pPr>
      <w:r w:rsidRPr="009663A0">
        <w:t xml:space="preserve">This essay has critically discussed the methodological approaches to identifying local community views on ethical wildlife tourism and its contribution to responsible development. After conducting an analysis of ten peer-reviewed articles, I found that qualitative, interpretivist methods, specifically semi-structured interviews, are the most effective means of collecting </w:t>
      </w:r>
      <w:r w:rsidRPr="009663A0">
        <w:lastRenderedPageBreak/>
        <w:t>community storeys, values, and ethical issues. Context-specific insights usually cannot be done appropriately through the use of quantitative and mixed methods, though they present some strengths. A qualitative approach is most suited to the philosophical objectives and ethical requirements of the study to make sure that the local voices become central in supporting the responsible and inclusive tourism futures.</w:t>
      </w:r>
    </w:p>
    <w:p w14:paraId="18C288A9" w14:textId="77777777" w:rsidR="00613BB0" w:rsidRDefault="00613BB0" w:rsidP="009663A0">
      <w:pPr>
        <w:spacing w:line="480" w:lineRule="auto"/>
        <w:rPr>
          <w:rFonts w:ascii="Times New Roman" w:hAnsi="Times New Roman" w:cs="Times New Roman"/>
          <w:b/>
          <w:bCs/>
        </w:rPr>
      </w:pPr>
    </w:p>
    <w:p w14:paraId="7A73803B" w14:textId="77777777" w:rsidR="00350818" w:rsidRDefault="00350818" w:rsidP="009663A0">
      <w:pPr>
        <w:spacing w:line="480" w:lineRule="auto"/>
        <w:rPr>
          <w:rFonts w:ascii="Times New Roman" w:hAnsi="Times New Roman" w:cs="Times New Roman"/>
          <w:b/>
          <w:bCs/>
        </w:rPr>
      </w:pPr>
    </w:p>
    <w:p w14:paraId="1B8F6A22" w14:textId="77777777" w:rsidR="00350818" w:rsidRDefault="00350818" w:rsidP="009663A0">
      <w:pPr>
        <w:spacing w:line="480" w:lineRule="auto"/>
        <w:rPr>
          <w:rFonts w:ascii="Times New Roman" w:hAnsi="Times New Roman" w:cs="Times New Roman"/>
          <w:b/>
          <w:bCs/>
        </w:rPr>
      </w:pPr>
    </w:p>
    <w:p w14:paraId="306DA682" w14:textId="77777777" w:rsidR="00350818" w:rsidRDefault="00350818" w:rsidP="009663A0">
      <w:pPr>
        <w:spacing w:line="480" w:lineRule="auto"/>
        <w:rPr>
          <w:rFonts w:ascii="Times New Roman" w:hAnsi="Times New Roman" w:cs="Times New Roman"/>
          <w:b/>
          <w:bCs/>
        </w:rPr>
      </w:pPr>
    </w:p>
    <w:p w14:paraId="12659F24" w14:textId="77777777" w:rsidR="00350818" w:rsidRDefault="00350818" w:rsidP="009663A0">
      <w:pPr>
        <w:spacing w:line="480" w:lineRule="auto"/>
        <w:rPr>
          <w:rFonts w:ascii="Times New Roman" w:hAnsi="Times New Roman" w:cs="Times New Roman"/>
          <w:b/>
          <w:bCs/>
        </w:rPr>
      </w:pPr>
    </w:p>
    <w:p w14:paraId="3A1E2080" w14:textId="77777777" w:rsidR="00350818" w:rsidRDefault="00350818" w:rsidP="009663A0">
      <w:pPr>
        <w:spacing w:line="480" w:lineRule="auto"/>
        <w:rPr>
          <w:rFonts w:ascii="Times New Roman" w:hAnsi="Times New Roman" w:cs="Times New Roman"/>
          <w:b/>
          <w:bCs/>
        </w:rPr>
      </w:pPr>
    </w:p>
    <w:p w14:paraId="73934189" w14:textId="77777777" w:rsidR="00350818" w:rsidRDefault="00350818" w:rsidP="009663A0">
      <w:pPr>
        <w:spacing w:line="480" w:lineRule="auto"/>
        <w:rPr>
          <w:rFonts w:ascii="Times New Roman" w:hAnsi="Times New Roman" w:cs="Times New Roman"/>
          <w:b/>
          <w:bCs/>
        </w:rPr>
      </w:pPr>
    </w:p>
    <w:p w14:paraId="65BD2DED" w14:textId="77777777" w:rsidR="00350818" w:rsidRDefault="00350818" w:rsidP="009663A0">
      <w:pPr>
        <w:spacing w:line="480" w:lineRule="auto"/>
        <w:rPr>
          <w:rFonts w:ascii="Times New Roman" w:hAnsi="Times New Roman" w:cs="Times New Roman"/>
          <w:b/>
          <w:bCs/>
        </w:rPr>
      </w:pPr>
    </w:p>
    <w:p w14:paraId="4A06D334" w14:textId="77777777" w:rsidR="00350818" w:rsidRDefault="00350818" w:rsidP="009663A0">
      <w:pPr>
        <w:spacing w:line="480" w:lineRule="auto"/>
        <w:rPr>
          <w:rFonts w:ascii="Times New Roman" w:hAnsi="Times New Roman" w:cs="Times New Roman"/>
          <w:b/>
          <w:bCs/>
        </w:rPr>
      </w:pPr>
    </w:p>
    <w:p w14:paraId="162EED1C" w14:textId="77777777" w:rsidR="00350818" w:rsidRDefault="00350818" w:rsidP="009663A0">
      <w:pPr>
        <w:spacing w:line="480" w:lineRule="auto"/>
        <w:rPr>
          <w:rFonts w:ascii="Times New Roman" w:hAnsi="Times New Roman" w:cs="Times New Roman"/>
          <w:b/>
          <w:bCs/>
        </w:rPr>
      </w:pPr>
    </w:p>
    <w:p w14:paraId="590061F9" w14:textId="77777777" w:rsidR="00350818" w:rsidRDefault="00350818" w:rsidP="009663A0">
      <w:pPr>
        <w:spacing w:line="480" w:lineRule="auto"/>
        <w:rPr>
          <w:rFonts w:ascii="Times New Roman" w:hAnsi="Times New Roman" w:cs="Times New Roman"/>
          <w:b/>
          <w:bCs/>
        </w:rPr>
      </w:pPr>
    </w:p>
    <w:p w14:paraId="7895E7D6" w14:textId="77777777" w:rsidR="00350818" w:rsidRDefault="00350818" w:rsidP="009663A0">
      <w:pPr>
        <w:spacing w:line="480" w:lineRule="auto"/>
        <w:rPr>
          <w:rFonts w:ascii="Times New Roman" w:hAnsi="Times New Roman" w:cs="Times New Roman"/>
          <w:b/>
          <w:bCs/>
        </w:rPr>
      </w:pPr>
    </w:p>
    <w:p w14:paraId="5B87B65A" w14:textId="77777777" w:rsidR="00350818" w:rsidRDefault="00350818" w:rsidP="009663A0">
      <w:pPr>
        <w:spacing w:line="480" w:lineRule="auto"/>
        <w:rPr>
          <w:rFonts w:ascii="Times New Roman" w:hAnsi="Times New Roman" w:cs="Times New Roman"/>
          <w:b/>
          <w:bCs/>
        </w:rPr>
      </w:pPr>
    </w:p>
    <w:p w14:paraId="1FC9EAD9" w14:textId="77777777" w:rsidR="00350818" w:rsidRPr="009663A0" w:rsidRDefault="00350818" w:rsidP="009663A0">
      <w:pPr>
        <w:spacing w:line="480" w:lineRule="auto"/>
        <w:rPr>
          <w:rFonts w:ascii="Times New Roman" w:hAnsi="Times New Roman" w:cs="Times New Roman"/>
          <w:b/>
          <w:bCs/>
        </w:rPr>
      </w:pPr>
    </w:p>
    <w:p w14:paraId="2AB956B5" w14:textId="1B924462" w:rsidR="00350818" w:rsidRPr="00A553F5" w:rsidRDefault="00A553F5" w:rsidP="00350818">
      <w:pPr>
        <w:spacing w:line="480" w:lineRule="auto"/>
        <w:rPr>
          <w:rFonts w:ascii="Times New Roman" w:hAnsi="Times New Roman" w:cs="Times New Roman"/>
          <w:b/>
          <w:bCs/>
        </w:rPr>
      </w:pPr>
      <w:r w:rsidRPr="009663A0">
        <w:rPr>
          <w:rFonts w:ascii="Times New Roman" w:hAnsi="Times New Roman" w:cs="Times New Roman"/>
          <w:b/>
          <w:bCs/>
        </w:rPr>
        <w:lastRenderedPageBreak/>
        <w:t>R</w:t>
      </w:r>
      <w:r w:rsidRPr="00A553F5">
        <w:rPr>
          <w:rFonts w:ascii="Times New Roman" w:hAnsi="Times New Roman" w:cs="Times New Roman"/>
          <w:b/>
          <w:bCs/>
        </w:rPr>
        <w:t xml:space="preserve">eference </w:t>
      </w:r>
      <w:r w:rsidRPr="009663A0">
        <w:rPr>
          <w:rFonts w:ascii="Times New Roman" w:hAnsi="Times New Roman" w:cs="Times New Roman"/>
          <w:b/>
          <w:bCs/>
        </w:rPr>
        <w:t>L</w:t>
      </w:r>
      <w:r w:rsidRPr="00A553F5">
        <w:rPr>
          <w:rFonts w:ascii="Times New Roman" w:hAnsi="Times New Roman" w:cs="Times New Roman"/>
          <w:b/>
          <w:bCs/>
        </w:rPr>
        <w:t>ist</w:t>
      </w:r>
    </w:p>
    <w:p w14:paraId="234027A3" w14:textId="77777777" w:rsidR="00350818" w:rsidRPr="00A553F5"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t xml:space="preserve">Ainomujuni, J. and Twinamatsiko, M. (2025) </w:t>
      </w:r>
      <w:r w:rsidRPr="00A553F5">
        <w:rPr>
          <w:rFonts w:ascii="Times New Roman" w:hAnsi="Times New Roman" w:cs="Times New Roman"/>
          <w:i/>
          <w:iCs/>
        </w:rPr>
        <w:t>Distributive equity around Bwindi Impenetrable National Park in Uganda: Benefits, accessibility, perceptions, and realities among adjacent communities</w:t>
      </w:r>
      <w:r w:rsidRPr="00A553F5">
        <w:rPr>
          <w:rFonts w:ascii="Times New Roman" w:hAnsi="Times New Roman" w:cs="Times New Roman"/>
        </w:rPr>
        <w:t xml:space="preserve">. East African Journal of Science, Technology and Innovation. Available at: </w:t>
      </w:r>
      <w:hyperlink r:id="rId5" w:history="1">
        <w:r w:rsidRPr="00A553F5">
          <w:rPr>
            <w:rStyle w:val="Hyperlink"/>
            <w:rFonts w:ascii="Times New Roman" w:hAnsi="Times New Roman" w:cs="Times New Roman"/>
          </w:rPr>
          <w:t>https://researchportal.vub.be/en/publications/distributive-equity-around-bwindi-impenetrable-national-park-in-u</w:t>
        </w:r>
      </w:hyperlink>
    </w:p>
    <w:p w14:paraId="6F3D4F6F" w14:textId="77777777" w:rsidR="00350818" w:rsidRPr="00A553F5"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t xml:space="preserve">Amrullah, S.N., Sari, N.A. and Sudarmadji, T. (2025) </w:t>
      </w:r>
      <w:r w:rsidRPr="00A553F5">
        <w:rPr>
          <w:rFonts w:ascii="Times New Roman" w:hAnsi="Times New Roman" w:cs="Times New Roman"/>
          <w:i/>
          <w:iCs/>
        </w:rPr>
        <w:t>Adaptive ecosystem restoration for strengthening ecotourism hotspots in protected forest landscapes</w:t>
      </w:r>
      <w:r w:rsidRPr="00A553F5">
        <w:rPr>
          <w:rFonts w:ascii="Times New Roman" w:hAnsi="Times New Roman" w:cs="Times New Roman"/>
        </w:rPr>
        <w:t xml:space="preserve">. IOP Conference Series: Earth and Environmental Science, 1562(1), pp.1–12. Available at: </w:t>
      </w:r>
      <w:hyperlink r:id="rId6" w:history="1">
        <w:r w:rsidRPr="00A553F5">
          <w:rPr>
            <w:rStyle w:val="Hyperlink"/>
            <w:rFonts w:ascii="Times New Roman" w:hAnsi="Times New Roman" w:cs="Times New Roman"/>
          </w:rPr>
          <w:t>https://iopscience.iop.org/article/10.1088/1755-1315/1562/1/012022/pdf</w:t>
        </w:r>
      </w:hyperlink>
      <w:r w:rsidRPr="00A553F5">
        <w:rPr>
          <w:rFonts w:ascii="Times New Roman" w:hAnsi="Times New Roman" w:cs="Times New Roman"/>
        </w:rPr>
        <w:t xml:space="preserve"> </w:t>
      </w:r>
    </w:p>
    <w:p w14:paraId="1E1D5082" w14:textId="77777777" w:rsidR="00350818" w:rsidRPr="00AB1F82" w:rsidRDefault="00350818" w:rsidP="00350818">
      <w:pPr>
        <w:spacing w:line="480" w:lineRule="auto"/>
        <w:ind w:left="720" w:hanging="720"/>
        <w:rPr>
          <w:rFonts w:ascii="Times New Roman" w:hAnsi="Times New Roman" w:cs="Times New Roman"/>
        </w:rPr>
      </w:pPr>
      <w:r w:rsidRPr="00AB1F82">
        <w:rPr>
          <w:rFonts w:ascii="Times New Roman" w:hAnsi="Times New Roman" w:cs="Times New Roman"/>
        </w:rPr>
        <w:t xml:space="preserve">Bell, E., Bryman, A. and Harley, B. (2022) </w:t>
      </w:r>
      <w:r w:rsidRPr="00AB1F82">
        <w:rPr>
          <w:rFonts w:ascii="Times New Roman" w:hAnsi="Times New Roman" w:cs="Times New Roman"/>
          <w:i/>
          <w:iCs/>
        </w:rPr>
        <w:t>Business research methods</w:t>
      </w:r>
      <w:r w:rsidRPr="00AB1F82">
        <w:rPr>
          <w:rFonts w:ascii="Times New Roman" w:hAnsi="Times New Roman" w:cs="Times New Roman"/>
        </w:rPr>
        <w:t>. 5th edn. Oxford: Oxford University Press. Enhance eBook.</w:t>
      </w:r>
    </w:p>
    <w:p w14:paraId="65A65661" w14:textId="77777777" w:rsidR="00350818" w:rsidRPr="00AB1F82" w:rsidRDefault="00350818" w:rsidP="00350818">
      <w:pPr>
        <w:spacing w:line="480" w:lineRule="auto"/>
        <w:ind w:left="720" w:hanging="720"/>
        <w:rPr>
          <w:rFonts w:ascii="Times New Roman" w:hAnsi="Times New Roman" w:cs="Times New Roman"/>
        </w:rPr>
      </w:pPr>
      <w:r w:rsidRPr="00AB1F82">
        <w:rPr>
          <w:rFonts w:ascii="Times New Roman" w:hAnsi="Times New Roman" w:cs="Times New Roman"/>
        </w:rPr>
        <w:t xml:space="preserve">Bryman, A. (2016) </w:t>
      </w:r>
      <w:r w:rsidRPr="00AB1F82">
        <w:rPr>
          <w:rFonts w:ascii="Times New Roman" w:hAnsi="Times New Roman" w:cs="Times New Roman"/>
          <w:i/>
          <w:iCs/>
        </w:rPr>
        <w:t>Social research methods</w:t>
      </w:r>
      <w:r w:rsidRPr="00AB1F82">
        <w:rPr>
          <w:rFonts w:ascii="Times New Roman" w:hAnsi="Times New Roman" w:cs="Times New Roman"/>
        </w:rPr>
        <w:t>. 5th edn. Oxford: Oxford University Press.</w:t>
      </w:r>
    </w:p>
    <w:p w14:paraId="394CA832" w14:textId="77777777" w:rsidR="00350818" w:rsidRPr="00A553F5"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t xml:space="preserve">Gautam, S., Anup, K.C. and Khatiwada, S.S. (2025) </w:t>
      </w:r>
      <w:r w:rsidRPr="00A553F5">
        <w:rPr>
          <w:rFonts w:ascii="Times New Roman" w:hAnsi="Times New Roman" w:cs="Times New Roman"/>
          <w:i/>
          <w:iCs/>
        </w:rPr>
        <w:t>Impact of Covid-19 on environment and socioeconomic aspects in a rural tourism destination: A case of Sikles, Nepal</w:t>
      </w:r>
      <w:r w:rsidRPr="00A553F5">
        <w:rPr>
          <w:rFonts w:ascii="Times New Roman" w:hAnsi="Times New Roman" w:cs="Times New Roman"/>
        </w:rPr>
        <w:t xml:space="preserve">. Quest Journal of Management and Social Sciences. Available at: </w:t>
      </w:r>
      <w:hyperlink r:id="rId7" w:history="1">
        <w:r w:rsidRPr="00A553F5">
          <w:rPr>
            <w:rStyle w:val="Hyperlink"/>
            <w:rFonts w:ascii="Times New Roman" w:hAnsi="Times New Roman" w:cs="Times New Roman"/>
          </w:rPr>
          <w:t>https://nepjol.info/index.php/qjmss/article/download/87793/67073</w:t>
        </w:r>
      </w:hyperlink>
      <w:r w:rsidRPr="00A553F5">
        <w:rPr>
          <w:rFonts w:ascii="Times New Roman" w:hAnsi="Times New Roman" w:cs="Times New Roman"/>
        </w:rPr>
        <w:t xml:space="preserve"> </w:t>
      </w:r>
    </w:p>
    <w:p w14:paraId="4CDD61A7" w14:textId="77777777" w:rsidR="00350818" w:rsidRPr="009663A0" w:rsidRDefault="00350818" w:rsidP="00350818">
      <w:pPr>
        <w:spacing w:line="480" w:lineRule="auto"/>
        <w:ind w:left="720" w:hanging="720"/>
        <w:rPr>
          <w:rFonts w:ascii="Times New Roman" w:hAnsi="Times New Roman" w:cs="Times New Roman"/>
        </w:rPr>
      </w:pPr>
      <w:r w:rsidRPr="009663A0">
        <w:rPr>
          <w:rFonts w:ascii="Times New Roman" w:hAnsi="Times New Roman" w:cs="Times New Roman"/>
        </w:rPr>
        <w:t>Ghasempour, S., Andam, R. and Bahrololoum, H., 2025. Towards a Competency-Based Training Model for Adventure Tourism Guides in Iran. </w:t>
      </w:r>
      <w:r w:rsidRPr="009663A0">
        <w:rPr>
          <w:rFonts w:ascii="Times New Roman" w:hAnsi="Times New Roman" w:cs="Times New Roman"/>
          <w:i/>
          <w:iCs/>
        </w:rPr>
        <w:t>Applied Research of Sport Management</w:t>
      </w:r>
      <w:r w:rsidRPr="009663A0">
        <w:rPr>
          <w:rFonts w:ascii="Times New Roman" w:hAnsi="Times New Roman" w:cs="Times New Roman"/>
        </w:rPr>
        <w:t>, </w:t>
      </w:r>
      <w:r w:rsidRPr="009663A0">
        <w:rPr>
          <w:rFonts w:ascii="Times New Roman" w:hAnsi="Times New Roman" w:cs="Times New Roman"/>
          <w:i/>
          <w:iCs/>
        </w:rPr>
        <w:t>14</w:t>
      </w:r>
      <w:r w:rsidRPr="009663A0">
        <w:rPr>
          <w:rFonts w:ascii="Times New Roman" w:hAnsi="Times New Roman" w:cs="Times New Roman"/>
        </w:rPr>
        <w:t>(2), pp.113-134.</w:t>
      </w:r>
      <w:r w:rsidRPr="009663A0">
        <w:rPr>
          <w:rFonts w:ascii="Times New Roman" w:hAnsi="Times New Roman" w:cs="Times New Roman"/>
        </w:rPr>
        <w:t xml:space="preserve"> </w:t>
      </w:r>
      <w:hyperlink r:id="rId8" w:history="1">
        <w:r w:rsidRPr="009663A0">
          <w:rPr>
            <w:rStyle w:val="Hyperlink"/>
            <w:rFonts w:ascii="Times New Roman" w:hAnsi="Times New Roman" w:cs="Times New Roman"/>
          </w:rPr>
          <w:t>https://arsmb.journals.pnu.ac.ir/article_12456.html?lang=en</w:t>
        </w:r>
      </w:hyperlink>
      <w:r w:rsidRPr="009663A0">
        <w:rPr>
          <w:rFonts w:ascii="Times New Roman" w:hAnsi="Times New Roman" w:cs="Times New Roman"/>
        </w:rPr>
        <w:t xml:space="preserve"> </w:t>
      </w:r>
    </w:p>
    <w:p w14:paraId="63F81530" w14:textId="77777777" w:rsidR="00350818" w:rsidRPr="00A553F5"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lastRenderedPageBreak/>
        <w:t xml:space="preserve">Gonap, E.G. and Sunday, D.E. (2025) </w:t>
      </w:r>
      <w:r w:rsidRPr="00A553F5">
        <w:rPr>
          <w:rFonts w:ascii="Times New Roman" w:hAnsi="Times New Roman" w:cs="Times New Roman"/>
          <w:i/>
          <w:iCs/>
        </w:rPr>
        <w:t>Sustainable tourism practices for enhancing biodiversity conservation in Jos Wildlife Park</w:t>
      </w:r>
      <w:r w:rsidRPr="00A553F5">
        <w:rPr>
          <w:rFonts w:ascii="Times New Roman" w:hAnsi="Times New Roman" w:cs="Times New Roman"/>
        </w:rPr>
        <w:t xml:space="preserve">. Available at: </w:t>
      </w:r>
      <w:hyperlink r:id="rId9" w:history="1">
        <w:r w:rsidRPr="00A553F5">
          <w:rPr>
            <w:rStyle w:val="Hyperlink"/>
            <w:rFonts w:ascii="Times New Roman" w:hAnsi="Times New Roman" w:cs="Times New Roman"/>
          </w:rPr>
          <w:t>https://www.researchgate.net/profile/Gonap-Gobin/publication/398110324_Sustainable_Tourism_Practices_for_Enhancing_Biodiversity_Conservation_in_Jos_Wildlife_Park/links/692b03eaabe27c41e516704f/Sustainable-Tourism-Practices-for-Enhancing-Biodiversity-Conservation-in-Jos-Wildlife-Park.pdf</w:t>
        </w:r>
      </w:hyperlink>
      <w:r w:rsidRPr="00A553F5">
        <w:rPr>
          <w:rFonts w:ascii="Times New Roman" w:hAnsi="Times New Roman" w:cs="Times New Roman"/>
        </w:rPr>
        <w:t xml:space="preserve"> </w:t>
      </w:r>
    </w:p>
    <w:p w14:paraId="3F51C441" w14:textId="77777777" w:rsidR="00350818" w:rsidRPr="00AB1F82" w:rsidRDefault="00350818" w:rsidP="00350818">
      <w:pPr>
        <w:spacing w:line="480" w:lineRule="auto"/>
        <w:ind w:left="720" w:hanging="720"/>
        <w:rPr>
          <w:rFonts w:ascii="Times New Roman" w:hAnsi="Times New Roman" w:cs="Times New Roman"/>
        </w:rPr>
      </w:pPr>
      <w:r w:rsidRPr="00AB1F82">
        <w:rPr>
          <w:rFonts w:ascii="Times New Roman" w:hAnsi="Times New Roman" w:cs="Times New Roman"/>
        </w:rPr>
        <w:t xml:space="preserve">Grix, J. (2010) </w:t>
      </w:r>
      <w:r w:rsidRPr="00AB1F82">
        <w:rPr>
          <w:rFonts w:ascii="Times New Roman" w:hAnsi="Times New Roman" w:cs="Times New Roman"/>
          <w:i/>
          <w:iCs/>
        </w:rPr>
        <w:t>The foundations of research</w:t>
      </w:r>
      <w:r w:rsidRPr="00AB1F82">
        <w:rPr>
          <w:rFonts w:ascii="Times New Roman" w:hAnsi="Times New Roman" w:cs="Times New Roman"/>
        </w:rPr>
        <w:t>. Basingstoke: Palgrave Macmillan.</w:t>
      </w:r>
    </w:p>
    <w:p w14:paraId="3EE2C815" w14:textId="77777777" w:rsidR="00350818" w:rsidRPr="009663A0"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t xml:space="preserve">Imbo, A.O., Wehn, U. and Irvine, K. (2025) </w:t>
      </w:r>
      <w:r w:rsidRPr="00A553F5">
        <w:rPr>
          <w:rFonts w:ascii="Times New Roman" w:hAnsi="Times New Roman" w:cs="Times New Roman"/>
          <w:i/>
          <w:iCs/>
        </w:rPr>
        <w:t>Conservancies: A demonstrable local-level action for the Sustainable Development Goals in an African indigenous frontier</w:t>
      </w:r>
      <w:r w:rsidRPr="00A553F5">
        <w:rPr>
          <w:rFonts w:ascii="Times New Roman" w:hAnsi="Times New Roman" w:cs="Times New Roman"/>
        </w:rPr>
        <w:t xml:space="preserve">. Environmental and Earth Sciences Research Journal, 36(1), p.8. Available at: </w:t>
      </w:r>
      <w:hyperlink r:id="rId10" w:history="1">
        <w:r w:rsidRPr="00A553F5">
          <w:rPr>
            <w:rStyle w:val="Hyperlink"/>
            <w:rFonts w:ascii="Times New Roman" w:hAnsi="Times New Roman" w:cs="Times New Roman"/>
          </w:rPr>
          <w:t>https://www.mdpi.com/3042-5743/36/1/8</w:t>
        </w:r>
      </w:hyperlink>
      <w:r w:rsidRPr="00A553F5">
        <w:rPr>
          <w:rFonts w:ascii="Times New Roman" w:hAnsi="Times New Roman" w:cs="Times New Roman"/>
        </w:rPr>
        <w:t xml:space="preserve"> </w:t>
      </w:r>
    </w:p>
    <w:p w14:paraId="1D2298A2" w14:textId="77777777" w:rsidR="00350818" w:rsidRPr="00A553F5"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t xml:space="preserve">John, J. (2026) </w:t>
      </w:r>
      <w:r w:rsidRPr="00A553F5">
        <w:rPr>
          <w:rFonts w:ascii="Times New Roman" w:hAnsi="Times New Roman" w:cs="Times New Roman"/>
          <w:i/>
          <w:iCs/>
        </w:rPr>
        <w:t>Ecotourism potential and carrying capacity assessment of Kaimur Wildlife Sanctuary</w:t>
      </w:r>
      <w:r w:rsidRPr="00A553F5">
        <w:rPr>
          <w:rFonts w:ascii="Times New Roman" w:hAnsi="Times New Roman" w:cs="Times New Roman"/>
        </w:rPr>
        <w:t xml:space="preserve">. Available at: </w:t>
      </w:r>
      <w:hyperlink r:id="rId11" w:history="1">
        <w:r w:rsidRPr="00A553F5">
          <w:rPr>
            <w:rStyle w:val="Hyperlink"/>
            <w:rFonts w:ascii="Times New Roman" w:hAnsi="Times New Roman" w:cs="Times New Roman"/>
          </w:rPr>
          <w:t>https://www.researchgate.net/profile/Joseph-John-36/publication/399408702_Ecotourism_Potential_and_Carrying_Capacity_Assessment_of_Kaimur_Wildlife_Sanctuary/links/695935037e61d05b53165395/Ecotourism-Potential-and-Carrying-Capacity-Assessment-of-Kaimur-Wildlife-Sanctuary.pdf</w:t>
        </w:r>
      </w:hyperlink>
    </w:p>
    <w:p w14:paraId="534651DF" w14:textId="77777777" w:rsidR="00350818" w:rsidRPr="00A553F5"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t xml:space="preserve">Kulunge, S.R., Mariki, S., Roe, D.F. and Snyman, S.S. (2025) </w:t>
      </w:r>
      <w:r w:rsidRPr="00A553F5">
        <w:rPr>
          <w:rFonts w:ascii="Times New Roman" w:hAnsi="Times New Roman" w:cs="Times New Roman"/>
          <w:i/>
          <w:iCs/>
        </w:rPr>
        <w:t>Exploring the acceptability of wildlife tourism joint ventures in wildlife management areas, Northern Tanzania</w:t>
      </w:r>
      <w:r w:rsidRPr="00A553F5">
        <w:rPr>
          <w:rFonts w:ascii="Times New Roman" w:hAnsi="Times New Roman" w:cs="Times New Roman"/>
        </w:rPr>
        <w:t xml:space="preserve">. Frontiers in Conservation Science. Available at: </w:t>
      </w:r>
      <w:hyperlink r:id="rId12" w:history="1">
        <w:r w:rsidRPr="00A553F5">
          <w:rPr>
            <w:rStyle w:val="Hyperlink"/>
            <w:rFonts w:ascii="Times New Roman" w:hAnsi="Times New Roman" w:cs="Times New Roman"/>
          </w:rPr>
          <w:t>https://www.frontiersin.org/journals/conservation-science/articles/10.3389/fcosc.2025.1708398/abstract</w:t>
        </w:r>
      </w:hyperlink>
    </w:p>
    <w:p w14:paraId="4BBFBBBE" w14:textId="77777777" w:rsidR="00350818" w:rsidRPr="00A553F5"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lastRenderedPageBreak/>
        <w:t xml:space="preserve">Ngonyani, F. (2025) </w:t>
      </w:r>
      <w:r w:rsidRPr="00A553F5">
        <w:rPr>
          <w:rFonts w:ascii="Times New Roman" w:hAnsi="Times New Roman" w:cs="Times New Roman"/>
          <w:i/>
          <w:iCs/>
        </w:rPr>
        <w:t>A sociological reflection on ecotourism and wildlife migration in Tanzania within the framework of sustainable development</w:t>
      </w:r>
      <w:r w:rsidRPr="00A553F5">
        <w:rPr>
          <w:rFonts w:ascii="Times New Roman" w:hAnsi="Times New Roman" w:cs="Times New Roman"/>
        </w:rPr>
        <w:t xml:space="preserve">. Art and Society, 4(6), pp.36–50. Available at: </w:t>
      </w:r>
      <w:hyperlink r:id="rId13" w:history="1">
        <w:r w:rsidRPr="00A553F5">
          <w:rPr>
            <w:rStyle w:val="Hyperlink"/>
            <w:rFonts w:ascii="Times New Roman" w:hAnsi="Times New Roman" w:cs="Times New Roman"/>
          </w:rPr>
          <w:t>https://ideas.repec.org/a/bdz/arasoc/v4y2025i6p36-50.html</w:t>
        </w:r>
      </w:hyperlink>
    </w:p>
    <w:p w14:paraId="159238CD" w14:textId="77777777" w:rsidR="00350818" w:rsidRPr="00AB1F82" w:rsidRDefault="00350818" w:rsidP="00350818">
      <w:pPr>
        <w:spacing w:line="480" w:lineRule="auto"/>
        <w:ind w:left="720" w:hanging="720"/>
        <w:rPr>
          <w:rFonts w:ascii="Times New Roman" w:hAnsi="Times New Roman" w:cs="Times New Roman"/>
        </w:rPr>
      </w:pPr>
      <w:r w:rsidRPr="00AB1F82">
        <w:rPr>
          <w:rFonts w:ascii="Times New Roman" w:hAnsi="Times New Roman" w:cs="Times New Roman"/>
        </w:rPr>
        <w:t xml:space="preserve">Saunders, M., Lewis, P. and Thornhill, A. (2023) </w:t>
      </w:r>
      <w:r w:rsidRPr="00AB1F82">
        <w:rPr>
          <w:rFonts w:ascii="Times New Roman" w:hAnsi="Times New Roman" w:cs="Times New Roman"/>
          <w:i/>
          <w:iCs/>
        </w:rPr>
        <w:t>Research methods for business students</w:t>
      </w:r>
      <w:r w:rsidRPr="00AB1F82">
        <w:rPr>
          <w:rFonts w:ascii="Times New Roman" w:hAnsi="Times New Roman" w:cs="Times New Roman"/>
        </w:rPr>
        <w:t>. 9th edn. Harlow: Pearson Education.</w:t>
      </w:r>
    </w:p>
    <w:p w14:paraId="2599BC9B" w14:textId="77777777" w:rsidR="00350818" w:rsidRPr="00A553F5" w:rsidRDefault="00350818" w:rsidP="00350818">
      <w:pPr>
        <w:spacing w:line="480" w:lineRule="auto"/>
        <w:ind w:left="720" w:hanging="720"/>
        <w:rPr>
          <w:rFonts w:ascii="Times New Roman" w:hAnsi="Times New Roman" w:cs="Times New Roman"/>
        </w:rPr>
      </w:pPr>
      <w:r w:rsidRPr="00A553F5">
        <w:rPr>
          <w:rFonts w:ascii="Times New Roman" w:hAnsi="Times New Roman" w:cs="Times New Roman"/>
        </w:rPr>
        <w:t xml:space="preserve">Shimhanda, M.N., Mogomotsi, P.K. and Rutina, L.P. (2025) </w:t>
      </w:r>
      <w:r w:rsidRPr="00A553F5">
        <w:rPr>
          <w:rFonts w:ascii="Times New Roman" w:hAnsi="Times New Roman" w:cs="Times New Roman"/>
          <w:i/>
          <w:iCs/>
        </w:rPr>
        <w:t>Stakeholder perceptions of wildlife tourism in the Mudumu North Complex, Namibia: Implications for sustainable community development</w:t>
      </w:r>
      <w:r w:rsidRPr="00A553F5">
        <w:rPr>
          <w:rFonts w:ascii="Times New Roman" w:hAnsi="Times New Roman" w:cs="Times New Roman"/>
        </w:rPr>
        <w:t xml:space="preserve">. Regional Science Policy &amp; Practice. Available at: </w:t>
      </w:r>
      <w:hyperlink r:id="rId14" w:history="1">
        <w:r w:rsidRPr="00A553F5">
          <w:rPr>
            <w:rStyle w:val="Hyperlink"/>
            <w:rFonts w:ascii="Times New Roman" w:hAnsi="Times New Roman" w:cs="Times New Roman"/>
          </w:rPr>
          <w:t>https://www.sciencedirect.com/science/article/pii/S1757780225000988</w:t>
        </w:r>
      </w:hyperlink>
    </w:p>
    <w:p w14:paraId="15E55FA0" w14:textId="77777777" w:rsidR="00350818" w:rsidRDefault="00350818" w:rsidP="00350818">
      <w:pPr>
        <w:spacing w:line="480" w:lineRule="auto"/>
        <w:ind w:left="720" w:hanging="720"/>
        <w:rPr>
          <w:rFonts w:ascii="Times New Roman" w:hAnsi="Times New Roman" w:cs="Times New Roman"/>
        </w:rPr>
      </w:pPr>
      <w:r w:rsidRPr="00AB1F82">
        <w:rPr>
          <w:rFonts w:ascii="Times New Roman" w:hAnsi="Times New Roman" w:cs="Times New Roman"/>
        </w:rPr>
        <w:t xml:space="preserve">Walle, A.H. (1997) Quantitative versus qualitative tourism research. </w:t>
      </w:r>
      <w:r w:rsidRPr="00AB1F82">
        <w:rPr>
          <w:rFonts w:ascii="Times New Roman" w:hAnsi="Times New Roman" w:cs="Times New Roman"/>
          <w:i/>
          <w:iCs/>
        </w:rPr>
        <w:t>Annals of Tourism Research</w:t>
      </w:r>
      <w:r w:rsidRPr="00AB1F82">
        <w:rPr>
          <w:rFonts w:ascii="Times New Roman" w:hAnsi="Times New Roman" w:cs="Times New Roman"/>
        </w:rPr>
        <w:t>, 24(3), pp.524–536.</w:t>
      </w:r>
    </w:p>
    <w:p w14:paraId="298911A1" w14:textId="77777777" w:rsidR="00163121" w:rsidRPr="00163121" w:rsidRDefault="00163121" w:rsidP="00163121">
      <w:pPr>
        <w:rPr>
          <w:rFonts w:ascii="Times New Roman" w:hAnsi="Times New Roman" w:cs="Times New Roman"/>
        </w:rPr>
      </w:pPr>
    </w:p>
    <w:p w14:paraId="6C8E4FB6" w14:textId="77777777" w:rsidR="00163121" w:rsidRPr="00163121" w:rsidRDefault="00163121" w:rsidP="00163121">
      <w:pPr>
        <w:rPr>
          <w:rFonts w:ascii="Times New Roman" w:hAnsi="Times New Roman" w:cs="Times New Roman"/>
        </w:rPr>
      </w:pPr>
    </w:p>
    <w:p w14:paraId="2BEF016C" w14:textId="77777777" w:rsidR="00163121" w:rsidRPr="00163121" w:rsidRDefault="00163121" w:rsidP="00163121">
      <w:pPr>
        <w:rPr>
          <w:rFonts w:ascii="Times New Roman" w:hAnsi="Times New Roman" w:cs="Times New Roman"/>
        </w:rPr>
      </w:pPr>
    </w:p>
    <w:p w14:paraId="740C2772" w14:textId="77777777" w:rsidR="00163121" w:rsidRPr="00163121" w:rsidRDefault="00163121" w:rsidP="00163121">
      <w:pPr>
        <w:rPr>
          <w:rFonts w:ascii="Times New Roman" w:hAnsi="Times New Roman" w:cs="Times New Roman"/>
        </w:rPr>
      </w:pPr>
    </w:p>
    <w:p w14:paraId="17BD0ACE" w14:textId="77777777" w:rsidR="00163121" w:rsidRPr="00163121" w:rsidRDefault="00163121" w:rsidP="00163121">
      <w:pPr>
        <w:rPr>
          <w:rFonts w:ascii="Times New Roman" w:hAnsi="Times New Roman" w:cs="Times New Roman"/>
        </w:rPr>
      </w:pPr>
    </w:p>
    <w:p w14:paraId="1E952E23" w14:textId="77777777" w:rsidR="00163121" w:rsidRPr="00163121" w:rsidRDefault="00163121" w:rsidP="00163121">
      <w:pPr>
        <w:rPr>
          <w:rFonts w:ascii="Times New Roman" w:hAnsi="Times New Roman" w:cs="Times New Roman"/>
        </w:rPr>
      </w:pPr>
    </w:p>
    <w:p w14:paraId="15FD6A8C" w14:textId="77777777" w:rsidR="00163121" w:rsidRDefault="00163121" w:rsidP="00163121">
      <w:pPr>
        <w:rPr>
          <w:rFonts w:ascii="Times New Roman" w:hAnsi="Times New Roman" w:cs="Times New Roman"/>
        </w:rPr>
      </w:pPr>
    </w:p>
    <w:p w14:paraId="6B271996" w14:textId="560D8FC5" w:rsidR="00163121" w:rsidRDefault="00163121" w:rsidP="00163121">
      <w:pPr>
        <w:tabs>
          <w:tab w:val="left" w:pos="1644"/>
        </w:tabs>
        <w:rPr>
          <w:rFonts w:ascii="Times New Roman" w:hAnsi="Times New Roman" w:cs="Times New Roman"/>
        </w:rPr>
      </w:pPr>
      <w:r>
        <w:rPr>
          <w:rFonts w:ascii="Times New Roman" w:hAnsi="Times New Roman" w:cs="Times New Roman"/>
        </w:rPr>
        <w:tab/>
      </w:r>
    </w:p>
    <w:p w14:paraId="07A53387" w14:textId="77777777" w:rsidR="00163121" w:rsidRDefault="00163121" w:rsidP="00163121">
      <w:pPr>
        <w:tabs>
          <w:tab w:val="left" w:pos="1644"/>
        </w:tabs>
        <w:rPr>
          <w:rFonts w:ascii="Times New Roman" w:hAnsi="Times New Roman" w:cs="Times New Roman"/>
        </w:rPr>
      </w:pPr>
    </w:p>
    <w:p w14:paraId="5C181463" w14:textId="77777777" w:rsidR="00163121" w:rsidRDefault="00163121" w:rsidP="00163121">
      <w:pPr>
        <w:tabs>
          <w:tab w:val="left" w:pos="1644"/>
        </w:tabs>
        <w:rPr>
          <w:rFonts w:ascii="Times New Roman" w:hAnsi="Times New Roman" w:cs="Times New Roman"/>
        </w:rPr>
      </w:pPr>
    </w:p>
    <w:p w14:paraId="127570C9" w14:textId="77777777" w:rsidR="00163121" w:rsidRDefault="00163121" w:rsidP="00163121">
      <w:pPr>
        <w:tabs>
          <w:tab w:val="left" w:pos="1644"/>
        </w:tabs>
        <w:rPr>
          <w:rFonts w:ascii="Times New Roman" w:hAnsi="Times New Roman" w:cs="Times New Roman"/>
        </w:rPr>
      </w:pPr>
    </w:p>
    <w:p w14:paraId="72AF9F0B" w14:textId="77777777" w:rsidR="00163121" w:rsidRPr="00AB1F82" w:rsidRDefault="00163121" w:rsidP="00163121">
      <w:pPr>
        <w:tabs>
          <w:tab w:val="left" w:pos="1644"/>
        </w:tabs>
        <w:rPr>
          <w:rFonts w:ascii="Times New Roman" w:hAnsi="Times New Roman" w:cs="Times New Roman"/>
        </w:rPr>
      </w:pPr>
    </w:p>
    <w:sectPr w:rsidR="00163121" w:rsidRPr="00AB1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54008"/>
    <w:multiLevelType w:val="multilevel"/>
    <w:tmpl w:val="63D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4C2F03"/>
    <w:multiLevelType w:val="multilevel"/>
    <w:tmpl w:val="A36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964682">
    <w:abstractNumId w:val="1"/>
  </w:num>
  <w:num w:numId="2" w16cid:durableId="45344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07"/>
    <w:rsid w:val="00006648"/>
    <w:rsid w:val="000B25ED"/>
    <w:rsid w:val="00163121"/>
    <w:rsid w:val="0018696F"/>
    <w:rsid w:val="001A0018"/>
    <w:rsid w:val="0023766F"/>
    <w:rsid w:val="0027793F"/>
    <w:rsid w:val="00282F07"/>
    <w:rsid w:val="002F0C84"/>
    <w:rsid w:val="00350818"/>
    <w:rsid w:val="003C019B"/>
    <w:rsid w:val="004B5CED"/>
    <w:rsid w:val="004B7D87"/>
    <w:rsid w:val="00613BB0"/>
    <w:rsid w:val="00646E8B"/>
    <w:rsid w:val="006B2EE4"/>
    <w:rsid w:val="006D4AC5"/>
    <w:rsid w:val="00705549"/>
    <w:rsid w:val="00723BA2"/>
    <w:rsid w:val="007D3FC6"/>
    <w:rsid w:val="00872A2E"/>
    <w:rsid w:val="009663A0"/>
    <w:rsid w:val="00A553F5"/>
    <w:rsid w:val="00AA0132"/>
    <w:rsid w:val="00AB1F82"/>
    <w:rsid w:val="00B42EBE"/>
    <w:rsid w:val="00C56EA9"/>
    <w:rsid w:val="00CA3F15"/>
    <w:rsid w:val="00CF17AF"/>
    <w:rsid w:val="00D47447"/>
    <w:rsid w:val="00D72728"/>
    <w:rsid w:val="00D72EA0"/>
    <w:rsid w:val="00D76100"/>
    <w:rsid w:val="00D8446B"/>
    <w:rsid w:val="00DE4595"/>
    <w:rsid w:val="00DF3CC3"/>
    <w:rsid w:val="00F81771"/>
    <w:rsid w:val="00FD7933"/>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4005"/>
  <w15:chartTrackingRefBased/>
  <w15:docId w15:val="{82514C15-85E2-4AA3-9B81-12E9AF6A5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2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2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F07"/>
    <w:rPr>
      <w:rFonts w:eastAsiaTheme="majorEastAsia" w:cstheme="majorBidi"/>
      <w:color w:val="272727" w:themeColor="text1" w:themeTint="D8"/>
    </w:rPr>
  </w:style>
  <w:style w:type="paragraph" w:styleId="Title">
    <w:name w:val="Title"/>
    <w:basedOn w:val="Normal"/>
    <w:next w:val="Normal"/>
    <w:link w:val="TitleChar"/>
    <w:uiPriority w:val="10"/>
    <w:qFormat/>
    <w:rsid w:val="00282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F07"/>
    <w:pPr>
      <w:spacing w:before="160"/>
      <w:jc w:val="center"/>
    </w:pPr>
    <w:rPr>
      <w:i/>
      <w:iCs/>
      <w:color w:val="404040" w:themeColor="text1" w:themeTint="BF"/>
    </w:rPr>
  </w:style>
  <w:style w:type="character" w:customStyle="1" w:styleId="QuoteChar">
    <w:name w:val="Quote Char"/>
    <w:basedOn w:val="DefaultParagraphFont"/>
    <w:link w:val="Quote"/>
    <w:uiPriority w:val="29"/>
    <w:rsid w:val="00282F07"/>
    <w:rPr>
      <w:i/>
      <w:iCs/>
      <w:color w:val="404040" w:themeColor="text1" w:themeTint="BF"/>
    </w:rPr>
  </w:style>
  <w:style w:type="paragraph" w:styleId="ListParagraph">
    <w:name w:val="List Paragraph"/>
    <w:basedOn w:val="Normal"/>
    <w:uiPriority w:val="34"/>
    <w:qFormat/>
    <w:rsid w:val="00282F07"/>
    <w:pPr>
      <w:ind w:left="720"/>
      <w:contextualSpacing/>
    </w:pPr>
  </w:style>
  <w:style w:type="character" w:styleId="IntenseEmphasis">
    <w:name w:val="Intense Emphasis"/>
    <w:basedOn w:val="DefaultParagraphFont"/>
    <w:uiPriority w:val="21"/>
    <w:qFormat/>
    <w:rsid w:val="00282F07"/>
    <w:rPr>
      <w:i/>
      <w:iCs/>
      <w:color w:val="2F5496" w:themeColor="accent1" w:themeShade="BF"/>
    </w:rPr>
  </w:style>
  <w:style w:type="paragraph" w:styleId="IntenseQuote">
    <w:name w:val="Intense Quote"/>
    <w:basedOn w:val="Normal"/>
    <w:next w:val="Normal"/>
    <w:link w:val="IntenseQuoteChar"/>
    <w:uiPriority w:val="30"/>
    <w:qFormat/>
    <w:rsid w:val="00282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F07"/>
    <w:rPr>
      <w:i/>
      <w:iCs/>
      <w:color w:val="2F5496" w:themeColor="accent1" w:themeShade="BF"/>
    </w:rPr>
  </w:style>
  <w:style w:type="character" w:styleId="IntenseReference">
    <w:name w:val="Intense Reference"/>
    <w:basedOn w:val="DefaultParagraphFont"/>
    <w:uiPriority w:val="32"/>
    <w:qFormat/>
    <w:rsid w:val="00282F07"/>
    <w:rPr>
      <w:b/>
      <w:bCs/>
      <w:smallCaps/>
      <w:color w:val="2F5496" w:themeColor="accent1" w:themeShade="BF"/>
      <w:spacing w:val="5"/>
    </w:rPr>
  </w:style>
  <w:style w:type="table" w:styleId="TableGrid">
    <w:name w:val="Table Grid"/>
    <w:basedOn w:val="TableNormal"/>
    <w:uiPriority w:val="39"/>
    <w:rsid w:val="00282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6100"/>
    <w:rPr>
      <w:color w:val="0563C1" w:themeColor="hyperlink"/>
      <w:u w:val="single"/>
    </w:rPr>
  </w:style>
  <w:style w:type="character" w:styleId="UnresolvedMention">
    <w:name w:val="Unresolved Mention"/>
    <w:basedOn w:val="DefaultParagraphFont"/>
    <w:uiPriority w:val="99"/>
    <w:semiHidden/>
    <w:unhideWhenUsed/>
    <w:rsid w:val="00D76100"/>
    <w:rPr>
      <w:color w:val="605E5C"/>
      <w:shd w:val="clear" w:color="auto" w:fill="E1DFDD"/>
    </w:rPr>
  </w:style>
  <w:style w:type="paragraph" w:styleId="NormalWeb">
    <w:name w:val="Normal (Web)"/>
    <w:basedOn w:val="Normal"/>
    <w:uiPriority w:val="99"/>
    <w:unhideWhenUsed/>
    <w:rsid w:val="00A553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79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smb.journals.pnu.ac.ir/article_12456.html?lang=en" TargetMode="External"/><Relationship Id="rId13" Type="http://schemas.openxmlformats.org/officeDocument/2006/relationships/hyperlink" Target="https://ideas.repec.org/a/bdz/arasoc/v4y2025i6p36-50.html" TargetMode="External"/><Relationship Id="rId3" Type="http://schemas.openxmlformats.org/officeDocument/2006/relationships/settings" Target="settings.xml"/><Relationship Id="rId7" Type="http://schemas.openxmlformats.org/officeDocument/2006/relationships/hyperlink" Target="https://nepjol.info/index.php/qjmss/article/download/87793/67073" TargetMode="External"/><Relationship Id="rId12" Type="http://schemas.openxmlformats.org/officeDocument/2006/relationships/hyperlink" Target="https://www.frontiersin.org/journals/conservation-science/articles/10.3389/fcosc.2025.1708398/abstrac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opscience.iop.org/article/10.1088/1755-1315/1562/1/012022/pdf" TargetMode="External"/><Relationship Id="rId11" Type="http://schemas.openxmlformats.org/officeDocument/2006/relationships/hyperlink" Target="https://www.researchgate.net/profile/Joseph-John-36/publication/399408702_Ecotourism_Potential_and_Carrying_Capacity_Assessment_of_Kaimur_Wildlife_Sanctuary/links/695935037e61d05b53165395/Ecotourism-Potential-and-Carrying-Capacity-Assessment-of-Kaimur-Wildlife-Sanctuary.pdf" TargetMode="External"/><Relationship Id="rId5" Type="http://schemas.openxmlformats.org/officeDocument/2006/relationships/hyperlink" Target="https://researchportal.vub.be/en/publications/distributive-equity-around-bwindi-impenetrable-national-park-in-u" TargetMode="External"/><Relationship Id="rId15" Type="http://schemas.openxmlformats.org/officeDocument/2006/relationships/fontTable" Target="fontTable.xml"/><Relationship Id="rId10" Type="http://schemas.openxmlformats.org/officeDocument/2006/relationships/hyperlink" Target="https://www.mdpi.com/3042-5743/36/1/8" TargetMode="External"/><Relationship Id="rId4" Type="http://schemas.openxmlformats.org/officeDocument/2006/relationships/webSettings" Target="webSettings.xml"/><Relationship Id="rId9" Type="http://schemas.openxmlformats.org/officeDocument/2006/relationships/hyperlink" Target="https://www.researchgate.net/profile/Gonap-Gobin/publication/398110324_Sustainable_Tourism_Practices_for_Enhancing_Biodiversity_Conservation_in_Jos_Wildlife_Park/links/692b03eaabe27c41e516704f/Sustainable-Tourism-Practices-for-Enhancing-Biodiversity-Conservation-in-Jos-Wildlife-Park.pdf" TargetMode="External"/><Relationship Id="rId14" Type="http://schemas.openxmlformats.org/officeDocument/2006/relationships/hyperlink" Target="https://www.sciencedirect.com/science/article/pii/S1757780225000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769</TotalTime>
  <Pages>19</Pages>
  <Words>4348</Words>
  <Characters>24785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124</cp:revision>
  <dcterms:created xsi:type="dcterms:W3CDTF">2026-01-08T18:27:00Z</dcterms:created>
  <dcterms:modified xsi:type="dcterms:W3CDTF">2026-01-09T15:18:00Z</dcterms:modified>
</cp:coreProperties>
</file>