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6E44C" w14:textId="77777777" w:rsidR="0017288F" w:rsidRPr="0017288F" w:rsidRDefault="0017288F" w:rsidP="0017288F">
      <w:pPr>
        <w:spacing w:line="480" w:lineRule="auto"/>
        <w:jc w:val="center"/>
        <w:rPr>
          <w:rFonts w:ascii="Times New Roman" w:hAnsi="Times New Roman" w:cs="Times New Roman"/>
          <w:b/>
          <w:bCs/>
        </w:rPr>
      </w:pPr>
    </w:p>
    <w:p w14:paraId="62DA08F7" w14:textId="77777777" w:rsidR="0017288F" w:rsidRPr="0017288F" w:rsidRDefault="0017288F" w:rsidP="00DF49B6">
      <w:pPr>
        <w:spacing w:line="480" w:lineRule="auto"/>
        <w:rPr>
          <w:rFonts w:ascii="Times New Roman" w:hAnsi="Times New Roman" w:cs="Times New Roman"/>
          <w:b/>
          <w:bCs/>
        </w:rPr>
      </w:pPr>
    </w:p>
    <w:p w14:paraId="736D9DF2" w14:textId="77777777" w:rsidR="0017288F" w:rsidRPr="0017288F" w:rsidRDefault="0017288F" w:rsidP="0017288F">
      <w:pPr>
        <w:spacing w:line="480" w:lineRule="auto"/>
        <w:jc w:val="center"/>
        <w:rPr>
          <w:rFonts w:ascii="Times New Roman" w:hAnsi="Times New Roman" w:cs="Times New Roman"/>
          <w:b/>
          <w:bCs/>
        </w:rPr>
      </w:pPr>
    </w:p>
    <w:p w14:paraId="6B376EA7" w14:textId="7B62A60A" w:rsidR="0017288F" w:rsidRPr="0017288F" w:rsidRDefault="0017288F" w:rsidP="00DF49B6">
      <w:pPr>
        <w:spacing w:line="480" w:lineRule="auto"/>
        <w:jc w:val="center"/>
        <w:rPr>
          <w:rFonts w:ascii="Times New Roman" w:hAnsi="Times New Roman" w:cs="Times New Roman"/>
          <w:b/>
          <w:bCs/>
        </w:rPr>
      </w:pPr>
      <w:r w:rsidRPr="0017288F">
        <w:rPr>
          <w:rFonts w:ascii="Times New Roman" w:hAnsi="Times New Roman" w:cs="Times New Roman"/>
          <w:b/>
          <w:bCs/>
        </w:rPr>
        <w:t>Global Business Strategy</w:t>
      </w:r>
    </w:p>
    <w:p w14:paraId="489CDAC8" w14:textId="77777777" w:rsidR="0017288F" w:rsidRPr="0017288F" w:rsidRDefault="0017288F" w:rsidP="0017288F">
      <w:pPr>
        <w:spacing w:line="480" w:lineRule="auto"/>
        <w:jc w:val="center"/>
        <w:rPr>
          <w:rFonts w:ascii="Times New Roman" w:hAnsi="Times New Roman" w:cs="Times New Roman"/>
          <w:b/>
          <w:bCs/>
        </w:rPr>
      </w:pPr>
    </w:p>
    <w:p w14:paraId="4481FA9B" w14:textId="77777777" w:rsidR="0017288F" w:rsidRDefault="0017288F" w:rsidP="0017288F">
      <w:pPr>
        <w:spacing w:line="480" w:lineRule="auto"/>
        <w:jc w:val="center"/>
        <w:rPr>
          <w:rFonts w:ascii="Times New Roman" w:hAnsi="Times New Roman" w:cs="Times New Roman"/>
          <w:b/>
          <w:bCs/>
        </w:rPr>
      </w:pPr>
    </w:p>
    <w:p w14:paraId="25F6F4F0" w14:textId="77777777" w:rsidR="00DF49B6" w:rsidRPr="0017288F" w:rsidRDefault="00DF49B6" w:rsidP="00DF49B6">
      <w:pPr>
        <w:spacing w:line="720" w:lineRule="auto"/>
        <w:jc w:val="center"/>
        <w:rPr>
          <w:rFonts w:ascii="Times New Roman" w:hAnsi="Times New Roman" w:cs="Times New Roman"/>
          <w:b/>
          <w:bCs/>
        </w:rPr>
      </w:pPr>
    </w:p>
    <w:p w14:paraId="4977DEE1" w14:textId="77777777" w:rsidR="0017288F" w:rsidRPr="0017288F" w:rsidRDefault="0017288F" w:rsidP="00DF49B6">
      <w:pPr>
        <w:spacing w:line="720" w:lineRule="auto"/>
        <w:contextualSpacing/>
        <w:jc w:val="center"/>
        <w:outlineLvl w:val="0"/>
        <w:rPr>
          <w:rFonts w:ascii="Times New Roman" w:hAnsi="Times New Roman" w:cs="Times New Roman"/>
          <w:kern w:val="36"/>
        </w:rPr>
      </w:pPr>
      <w:r w:rsidRPr="0017288F">
        <w:rPr>
          <w:rFonts w:ascii="Times New Roman" w:hAnsi="Times New Roman" w:cs="Times New Roman"/>
          <w:kern w:val="36"/>
        </w:rPr>
        <w:t xml:space="preserve">Student's name </w:t>
      </w:r>
    </w:p>
    <w:p w14:paraId="16AE3E06" w14:textId="77777777" w:rsidR="0017288F" w:rsidRPr="0017288F" w:rsidRDefault="0017288F" w:rsidP="00DF49B6">
      <w:pPr>
        <w:spacing w:line="720" w:lineRule="auto"/>
        <w:contextualSpacing/>
        <w:jc w:val="center"/>
        <w:outlineLvl w:val="0"/>
        <w:rPr>
          <w:rFonts w:ascii="Times New Roman" w:hAnsi="Times New Roman" w:cs="Times New Roman"/>
          <w:kern w:val="36"/>
        </w:rPr>
      </w:pPr>
      <w:r w:rsidRPr="0017288F">
        <w:rPr>
          <w:rFonts w:ascii="Times New Roman" w:hAnsi="Times New Roman" w:cs="Times New Roman"/>
          <w:kern w:val="36"/>
        </w:rPr>
        <w:t>Course name</w:t>
      </w:r>
    </w:p>
    <w:p w14:paraId="358E2F51" w14:textId="77777777" w:rsidR="0017288F" w:rsidRPr="0017288F" w:rsidRDefault="0017288F" w:rsidP="00DF49B6">
      <w:pPr>
        <w:spacing w:line="720" w:lineRule="auto"/>
        <w:contextualSpacing/>
        <w:jc w:val="center"/>
        <w:outlineLvl w:val="0"/>
        <w:rPr>
          <w:rFonts w:ascii="Times New Roman" w:hAnsi="Times New Roman" w:cs="Times New Roman"/>
          <w:kern w:val="36"/>
        </w:rPr>
      </w:pPr>
      <w:r w:rsidRPr="0017288F">
        <w:rPr>
          <w:rFonts w:ascii="Times New Roman" w:hAnsi="Times New Roman" w:cs="Times New Roman"/>
          <w:kern w:val="36"/>
        </w:rPr>
        <w:t>Professor's name</w:t>
      </w:r>
    </w:p>
    <w:p w14:paraId="2ABA06AD" w14:textId="77777777" w:rsidR="0017288F" w:rsidRPr="0017288F" w:rsidRDefault="0017288F" w:rsidP="00DF49B6">
      <w:pPr>
        <w:spacing w:line="720" w:lineRule="auto"/>
        <w:contextualSpacing/>
        <w:jc w:val="center"/>
        <w:outlineLvl w:val="0"/>
        <w:rPr>
          <w:rFonts w:ascii="Times New Roman" w:hAnsi="Times New Roman" w:cs="Times New Roman"/>
          <w:kern w:val="36"/>
        </w:rPr>
      </w:pPr>
      <w:r w:rsidRPr="0017288F">
        <w:rPr>
          <w:rFonts w:ascii="Times New Roman" w:hAnsi="Times New Roman" w:cs="Times New Roman"/>
          <w:kern w:val="36"/>
        </w:rPr>
        <w:t>Institution</w:t>
      </w:r>
    </w:p>
    <w:p w14:paraId="3D9EE2EE" w14:textId="77777777" w:rsidR="0017288F" w:rsidRPr="0017288F" w:rsidRDefault="0017288F" w:rsidP="00DF49B6">
      <w:pPr>
        <w:spacing w:line="720" w:lineRule="auto"/>
        <w:contextualSpacing/>
        <w:jc w:val="center"/>
        <w:outlineLvl w:val="0"/>
        <w:rPr>
          <w:rFonts w:ascii="Times New Roman" w:hAnsi="Times New Roman" w:cs="Times New Roman"/>
          <w:kern w:val="36"/>
        </w:rPr>
      </w:pPr>
      <w:r w:rsidRPr="0017288F">
        <w:rPr>
          <w:rFonts w:ascii="Times New Roman" w:hAnsi="Times New Roman" w:cs="Times New Roman"/>
          <w:kern w:val="36"/>
        </w:rPr>
        <w:t>Date</w:t>
      </w:r>
    </w:p>
    <w:p w14:paraId="1CB280CF" w14:textId="77777777" w:rsidR="0017288F" w:rsidRPr="0017288F" w:rsidRDefault="0017288F" w:rsidP="0017288F">
      <w:pPr>
        <w:spacing w:line="480" w:lineRule="auto"/>
        <w:jc w:val="center"/>
        <w:rPr>
          <w:rFonts w:ascii="Times New Roman" w:hAnsi="Times New Roman" w:cs="Times New Roman"/>
          <w:b/>
          <w:bCs/>
        </w:rPr>
      </w:pPr>
    </w:p>
    <w:p w14:paraId="48F92B45" w14:textId="2EA58002" w:rsidR="0017288F" w:rsidRPr="0017288F" w:rsidRDefault="0017288F" w:rsidP="0017288F">
      <w:pPr>
        <w:spacing w:line="480" w:lineRule="auto"/>
        <w:jc w:val="center"/>
        <w:rPr>
          <w:rFonts w:ascii="Times New Roman" w:hAnsi="Times New Roman" w:cs="Times New Roman"/>
          <w:b/>
          <w:bCs/>
        </w:rPr>
      </w:pPr>
    </w:p>
    <w:p w14:paraId="31F1BF62" w14:textId="7678B344" w:rsidR="0017288F" w:rsidRPr="0017288F" w:rsidRDefault="0017288F" w:rsidP="00EB2757">
      <w:pPr>
        <w:spacing w:line="480" w:lineRule="auto"/>
        <w:rPr>
          <w:rFonts w:ascii="Times New Roman" w:hAnsi="Times New Roman" w:cs="Times New Roman"/>
          <w:b/>
          <w:bCs/>
        </w:rPr>
      </w:pPr>
    </w:p>
    <w:p w14:paraId="370FC09F" w14:textId="77777777" w:rsidR="0017288F" w:rsidRDefault="0017288F" w:rsidP="0017288F">
      <w:pPr>
        <w:spacing w:line="480" w:lineRule="auto"/>
        <w:jc w:val="center"/>
        <w:rPr>
          <w:rFonts w:ascii="Times New Roman" w:hAnsi="Times New Roman" w:cs="Times New Roman"/>
          <w:b/>
          <w:bCs/>
        </w:rPr>
      </w:pPr>
    </w:p>
    <w:p w14:paraId="0CAEA792" w14:textId="77777777" w:rsidR="00DF49B6" w:rsidRPr="0017288F" w:rsidRDefault="00DF49B6" w:rsidP="0017288F">
      <w:pPr>
        <w:spacing w:line="480" w:lineRule="auto"/>
        <w:jc w:val="center"/>
        <w:rPr>
          <w:rFonts w:ascii="Times New Roman" w:hAnsi="Times New Roman" w:cs="Times New Roman"/>
          <w:b/>
          <w:bCs/>
        </w:rPr>
      </w:pPr>
    </w:p>
    <w:p w14:paraId="47791589" w14:textId="19FDC232" w:rsidR="00BB2717" w:rsidRPr="0017288F" w:rsidRDefault="00BB2717" w:rsidP="0017288F">
      <w:pPr>
        <w:spacing w:line="480" w:lineRule="auto"/>
        <w:jc w:val="center"/>
        <w:rPr>
          <w:rFonts w:ascii="Times New Roman" w:hAnsi="Times New Roman" w:cs="Times New Roman"/>
          <w:b/>
          <w:bCs/>
        </w:rPr>
      </w:pPr>
      <w:r w:rsidRPr="0017288F">
        <w:rPr>
          <w:rFonts w:ascii="Times New Roman" w:hAnsi="Times New Roman" w:cs="Times New Roman"/>
          <w:b/>
          <w:bCs/>
        </w:rPr>
        <w:lastRenderedPageBreak/>
        <w:t>Global Business Strategy</w:t>
      </w:r>
    </w:p>
    <w:p w14:paraId="38ABAD46" w14:textId="77777777" w:rsidR="00B042F6" w:rsidRPr="0017288F" w:rsidRDefault="00B042F6" w:rsidP="0017288F">
      <w:pPr>
        <w:pStyle w:val="NormalWeb"/>
        <w:spacing w:line="480" w:lineRule="auto"/>
        <w:rPr>
          <w:b/>
        </w:rPr>
      </w:pPr>
      <w:r w:rsidRPr="0017288F">
        <w:rPr>
          <w:b/>
        </w:rPr>
        <w:t>Introduction</w:t>
      </w:r>
    </w:p>
    <w:p w14:paraId="2D23233C" w14:textId="4300C5F9" w:rsidR="00B042F6" w:rsidRPr="0017288F" w:rsidRDefault="00B042F6" w:rsidP="00EB2757">
      <w:pPr>
        <w:pStyle w:val="NormalWeb"/>
        <w:spacing w:line="480" w:lineRule="auto"/>
        <w:ind w:firstLine="720"/>
      </w:pPr>
      <w:r w:rsidRPr="0017288F">
        <w:t>Strategy in the changing global economy refers to where a long-term direction of an organization is chosen so as to create a competitive advantage through th</w:t>
      </w:r>
      <w:r w:rsidR="00EB2757">
        <w:t xml:space="preserve">e arrangement of resources in an </w:t>
      </w:r>
      <w:r w:rsidRPr="0017288F">
        <w:t>environment (Johnson et al., 2020). Strategic management can be defined as the collaborative activities, which initiate and direct this direction, made up of analysis, decision, and execution of strategic initiatives. The business environment of recent decades is marked with pronounced VUCA (volatility, uncertainty, complexity, ambiguity), which brings the traditional strategic planning to serious doubts</w:t>
      </w:r>
      <w:r w:rsidR="00B576B6">
        <w:t xml:space="preserve"> (</w:t>
      </w:r>
      <w:r w:rsidR="00B576B6" w:rsidRPr="0017288F">
        <w:t>Govindarajan</w:t>
      </w:r>
      <w:r w:rsidR="00B576B6">
        <w:t xml:space="preserve"> &amp; Trimble, 2011)</w:t>
      </w:r>
      <w:r w:rsidRPr="0017288F">
        <w:t>. The hospitality sector in the global economy is a classic example of turbulence, as this industry sector is vulnerable to unforeseen crises (e.g., COVID-19), rapid technological transformation (e.g., AI, automation), and continuous disruptions of the workforce. This essay claims that traditional approaches to strategy, like the SWOT or Five Forces, give a logical foundation but are insufficient in VUCA cases. Rather, modern strategies, in particular, dynamic capabilities and scenario planning, provide better flexibility and sustainability in the long term</w:t>
      </w:r>
      <w:r w:rsidR="00E7076C">
        <w:t xml:space="preserve"> (Postma, 2015)</w:t>
      </w:r>
      <w:r w:rsidRPr="0017288F">
        <w:t>. The essay starts with the description of the consequences of VUCA on the hospitality industry, followed by the critical analysis of the reasons why some people argue that classic and modern strategy frameworks are different, and proofed by scholarly theory and practice.</w:t>
      </w:r>
    </w:p>
    <w:p w14:paraId="380B6F3E" w14:textId="77777777" w:rsidR="00B042F6" w:rsidRPr="0017288F" w:rsidRDefault="00B042F6" w:rsidP="0017288F">
      <w:pPr>
        <w:pStyle w:val="NormalWeb"/>
        <w:spacing w:line="480" w:lineRule="auto"/>
        <w:rPr>
          <w:b/>
        </w:rPr>
      </w:pPr>
      <w:r w:rsidRPr="0017288F">
        <w:rPr>
          <w:b/>
        </w:rPr>
        <w:t>Strategy and VUCA in the Hospitality Industry</w:t>
      </w:r>
    </w:p>
    <w:p w14:paraId="29B76B13" w14:textId="7051107B" w:rsidR="00B042F6" w:rsidRPr="0017288F" w:rsidRDefault="00B042F6" w:rsidP="00EB2757">
      <w:pPr>
        <w:pStyle w:val="NormalWeb"/>
        <w:spacing w:line="480" w:lineRule="auto"/>
        <w:ind w:firstLine="720"/>
      </w:pPr>
      <w:r w:rsidRPr="0017288F">
        <w:t xml:space="preserve">Hospitality is a major part of the world service economy that is particularly susceptible to the impact of a VUCA environment. The level of its reliance on human interaction, real-time </w:t>
      </w:r>
      <w:r w:rsidRPr="0017288F">
        <w:lastRenderedPageBreak/>
        <w:t>delivery, and customer experience predisposes it to a range of industry-specific issues. Hospitality services are intangible (e.g., the experience of the guest cannot be stocked), perishable (e.g., unused capacity is impossible to store), and involve customer participation (e.g., co-creation of value during the service delivery), which exacerbates the exposure to volatility and uncertainty (Johnson et al., 2020). Lately, the pandemic of COVID-19 presents shocks of the uncertainty of global demand, which can be destroyed in a single day by travel bans or health disasters (Hall</w:t>
      </w:r>
      <w:r w:rsidR="00E7076C">
        <w:t xml:space="preserve"> et al., </w:t>
      </w:r>
      <w:r w:rsidRPr="0017288F">
        <w:t>2020). Furthermore, the constant abolition of regulation, visa policy, and individual health-related needs contributes to the additional burden on forecasting and operations. The lack of labor, inflation, political instability, and global mismatches of talent have become pre-eminent, disturbing the historic consistency of service delivery in the hospitality scenarios.</w:t>
      </w:r>
    </w:p>
    <w:p w14:paraId="7C9391AA" w14:textId="2CD4590B" w:rsidR="00B042F6" w:rsidRPr="0017288F" w:rsidRDefault="00B042F6" w:rsidP="00EB2757">
      <w:pPr>
        <w:pStyle w:val="NormalWeb"/>
        <w:spacing w:line="480" w:lineRule="auto"/>
        <w:ind w:firstLine="720"/>
      </w:pPr>
      <w:r w:rsidRPr="0017288F">
        <w:t>In addition to volatility and uncertainty, the industry is also caught in intricate international supply chains, and it has to serve highly diversified markets, sometimes in various jurisdictions</w:t>
      </w:r>
      <w:r w:rsidR="00B576B6">
        <w:t xml:space="preserve"> (</w:t>
      </w:r>
      <w:r w:rsidR="00B576B6" w:rsidRPr="0017288F">
        <w:t>Govindarajan</w:t>
      </w:r>
      <w:r w:rsidR="00B576B6">
        <w:t xml:space="preserve"> &amp; Trimble, 2011)</w:t>
      </w:r>
      <w:r w:rsidRPr="0017288F">
        <w:t xml:space="preserve">. As an example, global hotel chains operate franchises in various regions, each with distinct legal, economic, and cultural forces. Moreover, the risk of ambiguity is brought about by the emerging technologies (e.g., AI-based customer service, automated check-ins), the change in consumer expectations, and obscure market indications, and it is challenging to figure out what the best course of action is (Forbes Insights, 2020). Such VUCA pressures require a reassessment of traditional strategy. According to </w:t>
      </w:r>
      <w:proofErr w:type="spellStart"/>
      <w:r w:rsidRPr="0017288F">
        <w:t>Haarhaus</w:t>
      </w:r>
      <w:proofErr w:type="spellEnd"/>
      <w:r w:rsidRPr="0017288F">
        <w:t xml:space="preserve"> and Liening (2020), the modern world requires organizations to build strategic foresight to feel and react preemptively to change. In the hospitality sector, this is to instill strategic agility and resiliency in decision-making so as not to merely react to change but to prepare against various possible futures. Adaptation to strategy and dynamic resource </w:t>
      </w:r>
      <w:r w:rsidRPr="0017288F">
        <w:lastRenderedPageBreak/>
        <w:t>organization has become a necessity, especially for the companies that seek to maintain a long-term edge in the post-pandemic digitally accelerated service environment.</w:t>
      </w:r>
    </w:p>
    <w:p w14:paraId="444817D3" w14:textId="77777777" w:rsidR="00B042F6" w:rsidRPr="0017288F" w:rsidRDefault="00B042F6" w:rsidP="0017288F">
      <w:pPr>
        <w:pStyle w:val="NormalWeb"/>
        <w:spacing w:line="480" w:lineRule="auto"/>
        <w:rPr>
          <w:b/>
        </w:rPr>
      </w:pPr>
      <w:r w:rsidRPr="0017288F">
        <w:rPr>
          <w:b/>
        </w:rPr>
        <w:t xml:space="preserve">Traditional Strategic Approaches: Strengths &amp; Limitations in VUCA </w:t>
      </w:r>
    </w:p>
    <w:p w14:paraId="1CC6D73E" w14:textId="3E0C9996" w:rsidR="00B042F6" w:rsidRPr="0017288F" w:rsidRDefault="00B042F6" w:rsidP="00EB2757">
      <w:pPr>
        <w:pStyle w:val="NormalWeb"/>
        <w:spacing w:line="480" w:lineRule="auto"/>
        <w:ind w:firstLine="720"/>
      </w:pPr>
      <w:r w:rsidRPr="0017288F">
        <w:t>Porter's Five Forces, SWOT, PESTEL, Ansoff Matrix, and the Value Chain are all tools of analyzing positioning, planning, and competitive analysis that have traditionally been the analysis tools of strategic management. These frameworks offer systematic ways of analyzing industry forces, organizational strengths, and market potentials</w:t>
      </w:r>
      <w:r w:rsidR="004D06A1">
        <w:t xml:space="preserve"> (Willetts, 2014)</w:t>
      </w:r>
      <w:r w:rsidRPr="0017288F">
        <w:t>. An example is that Porter's Five Forces allow companies to learn about the forces that compete in the market to make their profits, whereas SWOT allows them to analyze vice internally and externally. PESTEL provides a macro-environmental analysis, including political, economic, social, technological, environmental, and legal factors. Such tools are highly applicable in stable or gradually changing environments where causality can be reasonably projected and the market dynamics can be reasonably predictable (Johnson et al., 2020). The models continue to offer baseline clarity and strategic alignment to hospitality businesses in need of market entry, expansion, or partnering strategy.</w:t>
      </w:r>
    </w:p>
    <w:p w14:paraId="133C13FB" w14:textId="73E2F95B" w:rsidR="00B042F6" w:rsidRPr="0017288F" w:rsidRDefault="00B042F6" w:rsidP="00EB2757">
      <w:pPr>
        <w:pStyle w:val="NormalWeb"/>
        <w:spacing w:line="480" w:lineRule="auto"/>
        <w:ind w:firstLine="720"/>
      </w:pPr>
      <w:r w:rsidRPr="0017288F">
        <w:t>Nevertheless, shortcomings of these conventional tools are more noticeable within a VUCA environment. They tend to be based on linear cause and effect, predictable patterns, and da</w:t>
      </w:r>
      <w:r w:rsidR="005029B1">
        <w:t>ta stability, which do not match</w:t>
      </w:r>
      <w:r w:rsidRPr="0017288F">
        <w:t xml:space="preserve"> well with the current rapidly changing environments</w:t>
      </w:r>
      <w:r w:rsidR="00E7076C">
        <w:t xml:space="preserve"> (Prahalad, </w:t>
      </w:r>
      <w:r w:rsidR="00E7076C" w:rsidRPr="0017288F">
        <w:t>2004</w:t>
      </w:r>
      <w:r w:rsidR="00E7076C">
        <w:t>)</w:t>
      </w:r>
      <w:r w:rsidRPr="0017288F">
        <w:t xml:space="preserve">. According to Teece (2007), such frameworks are not responsive enough to environments that are characterized by discontinuity and non-linearity. To illustrate, the PESTEL analysis did not take into consideration the occurrence of a black swan event, the emergence of the COVID-19 pandemic, which invalidated all previous environmental scans. Equally, SWOT </w:t>
      </w:r>
      <w:r w:rsidRPr="0017288F">
        <w:lastRenderedPageBreak/>
        <w:t>analysis by its definition would only produce stagnant visuals of strengths and weaknesses, which would not work well in the context of action in case of crisis where customers change behavior at very fast rates, such as booking cancellations and online preferences (Lubowiecki-</w:t>
      </w:r>
      <w:proofErr w:type="spellStart"/>
      <w:r w:rsidRPr="0017288F">
        <w:t>Vikuk</w:t>
      </w:r>
      <w:proofErr w:type="spellEnd"/>
      <w:r w:rsidRPr="0017288F">
        <w:t xml:space="preserve"> et al., 2023). Moreover, the models do not incorporate feedback loops and mechanisms of continuous learning or scenario adaptation, which makes them inappropriate to the unpredictability of hospitality organizations. Nevertheless, their reasoning essence can still be handy when reused: as a starting point instead of a conclusion. To</w:t>
      </w:r>
      <w:r w:rsidR="005029B1">
        <w:t xml:space="preserve"> succeed in VUCA, more flexible</w:t>
      </w:r>
      <w:r w:rsidRPr="0017288F">
        <w:t xml:space="preserve"> and adaptive real-time tactics like scenario planning or dynamic capabilities should be used to supplement traditional models</w:t>
      </w:r>
      <w:r w:rsidR="00B576B6">
        <w:t xml:space="preserve"> (Alexander, 2025)</w:t>
      </w:r>
      <w:r w:rsidRPr="0017288F">
        <w:t xml:space="preserve">. </w:t>
      </w:r>
    </w:p>
    <w:p w14:paraId="02D74F57" w14:textId="77777777" w:rsidR="00B042F6" w:rsidRPr="0017288F" w:rsidRDefault="00B042F6" w:rsidP="0017288F">
      <w:pPr>
        <w:pStyle w:val="NormalWeb"/>
        <w:spacing w:line="480" w:lineRule="auto"/>
        <w:rPr>
          <w:b/>
        </w:rPr>
      </w:pPr>
      <w:r w:rsidRPr="0017288F">
        <w:rPr>
          <w:b/>
        </w:rPr>
        <w:t>Contemporary Strategic Approaches: Suitability for VUCA</w:t>
      </w:r>
    </w:p>
    <w:p w14:paraId="190B7734" w14:textId="11ECE4C9" w:rsidR="00B042F6" w:rsidRPr="0017288F" w:rsidRDefault="00B042F6" w:rsidP="00EB2757">
      <w:pPr>
        <w:pStyle w:val="NormalWeb"/>
        <w:spacing w:line="480" w:lineRule="auto"/>
        <w:ind w:firstLine="720"/>
      </w:pPr>
      <w:r w:rsidRPr="0017288F">
        <w:t>Modern strategic directions have developed as a reaction to the shortcomings of traditional models to fulfill the needs of VUCA conditions, especially in the hospitality industry. Dynamic Capabilities by Teece et al. (1997) is one of the most powerful frameworks that allow organizations to perceive the environment changes, explore new opportunities, and rearrange the resources to adopt them. In contrast to the models of the static strategy, this approach considers the firm as a dynamic entity that can continuously be renewed</w:t>
      </w:r>
      <w:r w:rsidR="007519DA">
        <w:t xml:space="preserve"> (</w:t>
      </w:r>
      <w:proofErr w:type="spellStart"/>
      <w:r w:rsidR="007519DA">
        <w:t>Vecchiato</w:t>
      </w:r>
      <w:proofErr w:type="spellEnd"/>
      <w:r w:rsidR="007519DA">
        <w:t xml:space="preserve">, </w:t>
      </w:r>
      <w:r w:rsidR="007519DA" w:rsidRPr="0017288F">
        <w:t>2015</w:t>
      </w:r>
      <w:r w:rsidR="007519DA">
        <w:t>)</w:t>
      </w:r>
      <w:r w:rsidRPr="0017288F">
        <w:t>. Such capabilities are not just responsive but are incorporated into a culture of lifelong learning, innovation, and change</w:t>
      </w:r>
      <w:r w:rsidR="00B576B6">
        <w:t xml:space="preserve"> (Chesbrough, 2003)</w:t>
      </w:r>
      <w:r w:rsidRPr="0017288F">
        <w:t xml:space="preserve">. As an example, Hilton Hotels was particularly strong in dynamic capabilities by shifting to digital transformation during the pandemic and making investments in mobile check-ins, contactless service platforms, and AI-powered customer engagement tools. These measures were indicative of Hilton having the capability to detect evolving consumer requirements (e.g., the need to promote hygiene and the need to avoid </w:t>
      </w:r>
      <w:r w:rsidRPr="0017288F">
        <w:lastRenderedPageBreak/>
        <w:t>excessive contact) as well as to change the operations to be agile</w:t>
      </w:r>
      <w:r w:rsidR="007519DA">
        <w:t xml:space="preserve"> (Teece et al., </w:t>
      </w:r>
      <w:r w:rsidR="007519DA" w:rsidRPr="0017288F">
        <w:t>2016</w:t>
      </w:r>
      <w:r w:rsidR="007519DA">
        <w:t>)</w:t>
      </w:r>
      <w:r w:rsidRPr="0017288F">
        <w:t>. According to Teece (2007), in volatile environments, sustainable competitive advantage is no longer about the possession of resources but rather about the ability of the firm to change dynamically and repeatedly in response to the change.</w:t>
      </w:r>
    </w:p>
    <w:p w14:paraId="02D44EB9" w14:textId="6F2CC357" w:rsidR="0017288F" w:rsidRPr="0017288F" w:rsidRDefault="0017288F" w:rsidP="00EB2757">
      <w:pPr>
        <w:pStyle w:val="NormalWeb"/>
        <w:spacing w:line="480" w:lineRule="auto"/>
        <w:ind w:firstLine="720"/>
      </w:pPr>
      <w:r w:rsidRPr="0017288F">
        <w:t>Scenario planning is also another critical modern instrument, not a continuation of forecasting, but analyses of multiples of plausible future possibilities</w:t>
      </w:r>
      <w:r w:rsidR="00B576B6">
        <w:t xml:space="preserve"> (Alexander, 2025)</w:t>
      </w:r>
      <w:r w:rsidRPr="0017288F">
        <w:t xml:space="preserve">. According to </w:t>
      </w:r>
      <w:proofErr w:type="spellStart"/>
      <w:r w:rsidRPr="0017288F">
        <w:t>Schoeemaker</w:t>
      </w:r>
      <w:proofErr w:type="spellEnd"/>
      <w:r w:rsidRPr="0017288F">
        <w:t xml:space="preserve"> (1995), it is a field of mastering the ability to overcome cognitive bias and develop preparedness in the face of uncertainty. Organizations do not forecast the most probable result but instead develop a range of alternative scenarios (e.g., low/high demand recovery, technology implication, regulatory transformation) in which to experiment with their strategies. Marriott International successfully applied this strategy after COVID-19, when the management realized various situations that may include both extended lockdowns and early recovery, introducing more flexible budgeting, staffing, and investments to make decisions</w:t>
      </w:r>
      <w:r w:rsidR="007519DA">
        <w:t xml:space="preserve"> (Teece, 2012)</w:t>
      </w:r>
      <w:r w:rsidRPr="0017288F">
        <w:t xml:space="preserve">. The model, which is based on the situation planning of Shell, facilitates resilience and learning that help firms to foresee various outcomes and prevent strategic paralysis. Although Wilkinson and </w:t>
      </w:r>
      <w:proofErr w:type="spellStart"/>
      <w:r w:rsidRPr="0017288F">
        <w:t>Kupers</w:t>
      </w:r>
      <w:proofErr w:type="spellEnd"/>
      <w:r w:rsidRPr="0017288F">
        <w:t xml:space="preserve"> (2013) emphasize that the act of practicing scenario planning enhances leadership thinking, strategic reflexivity, and cross-functional collaboration, which are currently becoming increasingly valuable in the turmoil of the hospitality sector because decisions have to be made using incomplete information.</w:t>
      </w:r>
    </w:p>
    <w:p w14:paraId="25DCBFB0" w14:textId="28C65391" w:rsidR="0017288F" w:rsidRPr="0017288F" w:rsidRDefault="0017288F" w:rsidP="00EB2757">
      <w:pPr>
        <w:pStyle w:val="NormalWeb"/>
        <w:spacing w:line="480" w:lineRule="auto"/>
        <w:ind w:firstLine="720"/>
      </w:pPr>
      <w:r w:rsidRPr="0017288F">
        <w:t xml:space="preserve">The third important lens is strategic foresight, which entails being able to predict future disruptions and inculcate long-term thinking into leadership decisions. It enhances rationality and peripheral flexibility during uncertainty, enabling companies to develop strategies that are </w:t>
      </w:r>
      <w:r w:rsidRPr="0017288F">
        <w:lastRenderedPageBreak/>
        <w:t>proactive as</w:t>
      </w:r>
      <w:r w:rsidR="00B576B6">
        <w:t xml:space="preserve"> well as flexible (</w:t>
      </w:r>
      <w:proofErr w:type="spellStart"/>
      <w:r w:rsidR="00B576B6">
        <w:t>Haarhaus</w:t>
      </w:r>
      <w:proofErr w:type="spellEnd"/>
      <w:r w:rsidR="00B576B6">
        <w:t xml:space="preserve"> &amp; </w:t>
      </w:r>
      <w:r w:rsidRPr="0017288F">
        <w:t>Liening, 2020). The concept of strategic foresight is strongly connected with the creation of organizational agility, which helps to determine weak signals earlier, including the change of guest behavior, new rules of health, or sustainability expectations</w:t>
      </w:r>
      <w:r w:rsidR="00E7076C">
        <w:t xml:space="preserve"> (Schoemaker, 2018)</w:t>
      </w:r>
      <w:r w:rsidRPr="0017288F">
        <w:t>. As an example, service-focused hotels betting on the emergence of digital nomads after the pandemic rebranded their packages and loyalty programs to target remote workers, transforming uncertainty into a niche expansion opportunit</w:t>
      </w:r>
      <w:r w:rsidR="00A76561">
        <w:t>y (McKeown, 2008)</w:t>
      </w:r>
      <w:r w:rsidRPr="0017288F">
        <w:t>. Additionally, the foresight practices were particularly important in the process of the recovery following COVID-19, as they helped the hotels to overcome the uncertainty through phased reopening strategies, hybrid services, and contactless technologies (Hall et al., 2020). Together with strategies such as the Blue Ocean Strategy (focusing on innovation and new markets outside the competition), a company can, in addition to surviving, distinguish itself in markets that are becoming crowded and fast-paced</w:t>
      </w:r>
      <w:r w:rsidR="00B576B6">
        <w:t xml:space="preserve"> (Baumol, 2002)</w:t>
      </w:r>
      <w:r w:rsidRPr="0017288F">
        <w:t>. The current strategies are therefore a radical change from control to flexibility, enabling hospitality companies to be effective in the face of volatility and uncertainty</w:t>
      </w:r>
      <w:r w:rsidR="007519DA">
        <w:t xml:space="preserve"> (Teece, 2018)</w:t>
      </w:r>
      <w:r w:rsidRPr="0017288F">
        <w:t>.</w:t>
      </w:r>
    </w:p>
    <w:p w14:paraId="20B28A6C" w14:textId="77777777" w:rsidR="0017288F" w:rsidRPr="0017288F" w:rsidRDefault="0017288F" w:rsidP="0017288F">
      <w:pPr>
        <w:pStyle w:val="NormalWeb"/>
        <w:spacing w:line="480" w:lineRule="auto"/>
        <w:rPr>
          <w:b/>
        </w:rPr>
      </w:pPr>
      <w:r w:rsidRPr="0017288F">
        <w:rPr>
          <w:b/>
        </w:rPr>
        <w:t>Comparative Evaluation: Which Approach is More Effective in VUCA?</w:t>
      </w:r>
    </w:p>
    <w:p w14:paraId="7C7526A6" w14:textId="10364A6C" w:rsidR="0017288F" w:rsidRPr="0017288F" w:rsidRDefault="0017288F" w:rsidP="00EB2757">
      <w:pPr>
        <w:pStyle w:val="NormalWeb"/>
        <w:spacing w:line="480" w:lineRule="auto"/>
        <w:ind w:firstLine="720"/>
      </w:pPr>
      <w:r w:rsidRPr="0017288F">
        <w:t>Although classical strategic frameworks like SWOT, PESTEL, and Porter's Five Forces have been vital tools in supporting the basis of analysis, they in many ways fail in volatile, uncertain, complex, and ambiguous environments</w:t>
      </w:r>
      <w:r w:rsidR="007519DA">
        <w:t xml:space="preserve"> (Teece, 2016)</w:t>
      </w:r>
      <w:r w:rsidRPr="0017288F">
        <w:t>. These models are based on the assumptions of the stable environment and linear change; they are slow to react to shock or fast-changing trends</w:t>
      </w:r>
      <w:r w:rsidR="00E7076C">
        <w:t xml:space="preserve"> (</w:t>
      </w:r>
      <w:r w:rsidR="00E7076C" w:rsidRPr="0017288F">
        <w:t>Rohrbec</w:t>
      </w:r>
      <w:r w:rsidR="00E7076C">
        <w:t>k &amp; Schwarz, 2013)</w:t>
      </w:r>
      <w:r w:rsidRPr="0017288F">
        <w:t xml:space="preserve">. They are also effective because they provide a systematic base on which the environmental scanning and strategic positioning can be applied, especially in predictable market situations (Johnson et al., 2020). Nevertheless, as Teece (2007) </w:t>
      </w:r>
      <w:r w:rsidRPr="0017288F">
        <w:lastRenderedPageBreak/>
        <w:t>and Lubowiecki-</w:t>
      </w:r>
      <w:proofErr w:type="spellStart"/>
      <w:r w:rsidRPr="0017288F">
        <w:t>Vikuk</w:t>
      </w:r>
      <w:proofErr w:type="spellEnd"/>
      <w:r w:rsidRPr="0017288F">
        <w:t xml:space="preserve"> et al. (2023) note, these tools are insufficiently agile and lack feedback and dynamic responsiveness to suit dynamic strategic decision-making</w:t>
      </w:r>
      <w:r w:rsidR="00B576B6">
        <w:t xml:space="preserve"> (Chesbrough, 2003)</w:t>
      </w:r>
      <w:r w:rsidRPr="0017288F">
        <w:t>. The hospitality industry, where consumer behaviors, regulations, and technologies may change within a few weeks, as we have already seen during the COVID-19 pandemic, operating based on traditional models may lead to organizational stagnation and lack of alignment with dynamism in customer demands</w:t>
      </w:r>
      <w:r w:rsidR="00B00724">
        <w:t xml:space="preserve"> (Statistics Canada, 2006)</w:t>
      </w:r>
      <w:r w:rsidRPr="0017288F">
        <w:t>.</w:t>
      </w:r>
    </w:p>
    <w:p w14:paraId="3558B135" w14:textId="396EB8B2" w:rsidR="0017288F" w:rsidRPr="0017288F" w:rsidRDefault="0017288F" w:rsidP="00EB2757">
      <w:pPr>
        <w:pStyle w:val="NormalWeb"/>
        <w:spacing w:line="480" w:lineRule="auto"/>
        <w:ind w:firstLine="720"/>
      </w:pPr>
      <w:r w:rsidRPr="0017288F">
        <w:t>On the other hand, modern strategic thinking like dynamic capabilities, strategic foresight, and scenario planning present actually more effective answers to VUCA situations</w:t>
      </w:r>
      <w:r w:rsidR="00B576B6">
        <w:t xml:space="preserve"> (Alexander, 2025)</w:t>
      </w:r>
      <w:r w:rsidRPr="0017288F">
        <w:t>. These models are naturally responsive, which means that firms are continuously learning and reconfiguring resources and reacting proactively to uncertainty</w:t>
      </w:r>
      <w:r w:rsidR="007519DA">
        <w:t xml:space="preserve"> (Teece &amp; Leih, </w:t>
      </w:r>
      <w:r w:rsidR="007519DA" w:rsidRPr="0017288F">
        <w:t>2016</w:t>
      </w:r>
      <w:r w:rsidR="007519DA">
        <w:t>)</w:t>
      </w:r>
      <w:r w:rsidRPr="0017288F">
        <w:t>. Scenario planning, as an example, stimulates the thinking in the long term and strategy adjustability (Schoemaker, 1995), whereas dynamic capabilities enable companies to reposition their work on command (Teece et al., 1997). Strategic foresight increases the capability of leadership to comprehend weak signals and get ready to be disrupted (</w:t>
      </w:r>
      <w:proofErr w:type="spellStart"/>
      <w:r w:rsidRPr="0017288F">
        <w:t>Haarhaus</w:t>
      </w:r>
      <w:proofErr w:type="spellEnd"/>
      <w:r w:rsidRPr="0017288F">
        <w:t xml:space="preserve"> and Liening, 2020). However, all these strategies require a culture change, which involves making investments in innovation, decentralization of decision-making, and long-term thinking</w:t>
      </w:r>
      <w:r w:rsidR="00B576B6">
        <w:t xml:space="preserve"> (Baumol, 2002)</w:t>
      </w:r>
      <w:r w:rsidRPr="0017288F">
        <w:t>. In the case of hospitality companies, a hybrid model can be the most inspired: PESTEL and SWOT remain traditional tools that can be used to frame the strategic environment, yet agility and resilience are enabled through dynamic capabilities and foresight mechanisms</w:t>
      </w:r>
      <w:r w:rsidR="00A76561">
        <w:t xml:space="preserve"> (</w:t>
      </w:r>
      <w:r w:rsidR="00A76561" w:rsidRPr="0017288F">
        <w:t>Phill</w:t>
      </w:r>
      <w:r w:rsidR="00A76561">
        <w:t>ips &amp; Moutinho, 2018)</w:t>
      </w:r>
      <w:r w:rsidRPr="0017288F">
        <w:t>. Finally, the most suitable definition of VUCA in the hospitality sector is methods that blend substantive analysis with continuous flexibility, lifelong learning, and future preparedness</w:t>
      </w:r>
      <w:r w:rsidR="00A76561">
        <w:t xml:space="preserve"> (McKeown, 2008)</w:t>
      </w:r>
      <w:r w:rsidRPr="0017288F">
        <w:t>.</w:t>
      </w:r>
    </w:p>
    <w:p w14:paraId="2692FE52" w14:textId="77777777" w:rsidR="0017288F" w:rsidRPr="0017288F" w:rsidRDefault="0017288F" w:rsidP="0017288F">
      <w:pPr>
        <w:pStyle w:val="NormalWeb"/>
        <w:spacing w:line="480" w:lineRule="auto"/>
        <w:rPr>
          <w:b/>
        </w:rPr>
      </w:pPr>
      <w:r w:rsidRPr="0017288F">
        <w:rPr>
          <w:b/>
        </w:rPr>
        <w:lastRenderedPageBreak/>
        <w:t>Conclusion</w:t>
      </w:r>
    </w:p>
    <w:p w14:paraId="70334EE0" w14:textId="252BC9D9" w:rsidR="0017288F" w:rsidRPr="0017288F" w:rsidRDefault="00EB2757" w:rsidP="00EB2757">
      <w:pPr>
        <w:pStyle w:val="NormalWeb"/>
        <w:spacing w:line="480" w:lineRule="auto"/>
        <w:ind w:firstLine="720"/>
      </w:pPr>
      <w:r>
        <w:t>In conclusion, t</w:t>
      </w:r>
      <w:r w:rsidR="0017288F" w:rsidRPr="0017288F">
        <w:t xml:space="preserve">he hospitality industry is a sector that works under a more volatile, uncertain, complex, and ambiguous global environment. Although not outdated, traditional strategic models are no longer viable individually to meet the speed and unpredictability of change. </w:t>
      </w:r>
      <w:r w:rsidR="00135CB7" w:rsidRPr="00135CB7">
        <w:t>They possess the structural clear and anal stature, which confers them a launching point, but lack fleetness to stand out in line with the circumstances of the modern world in VUCA terms. Present day practices such as dynamic capabilities, scenario planning, and strategic foresight are closer to the needs of a disruptive world and promote resilience, innovation and real-time responsiveness. As indicated in the essay, these models are most usable in hospitality which is experiencing rapid technological advancement, high expectations of customers and unexpected crisis necessitating availability of flexibility at all times. Firms that combine the cognitive power of the outdated tools with the learning-based on the progressive vision thinking of the new strategies will be best placed to stay on the same competitive ground. The foundation of this new strategic era is not only on analysis but also on the aspect of being flexible and strategically transformable.</w:t>
      </w:r>
    </w:p>
    <w:p w14:paraId="03A8EA9D" w14:textId="77777777" w:rsidR="00857121" w:rsidRPr="0017288F" w:rsidRDefault="00857121" w:rsidP="0017288F">
      <w:pPr>
        <w:spacing w:line="480" w:lineRule="auto"/>
        <w:rPr>
          <w:rFonts w:ascii="Times New Roman" w:hAnsi="Times New Roman" w:cs="Times New Roman"/>
          <w:b/>
          <w:bCs/>
        </w:rPr>
      </w:pPr>
    </w:p>
    <w:p w14:paraId="4012913A" w14:textId="77777777" w:rsidR="006162EA" w:rsidRPr="0017288F" w:rsidRDefault="006162EA" w:rsidP="0017288F">
      <w:pPr>
        <w:spacing w:line="480" w:lineRule="auto"/>
        <w:rPr>
          <w:rFonts w:ascii="Times New Roman" w:hAnsi="Times New Roman" w:cs="Times New Roman"/>
          <w:b/>
          <w:bCs/>
        </w:rPr>
      </w:pPr>
    </w:p>
    <w:p w14:paraId="57B53097" w14:textId="77777777" w:rsidR="006162EA" w:rsidRPr="0017288F" w:rsidRDefault="006162EA" w:rsidP="0017288F">
      <w:pPr>
        <w:spacing w:line="480" w:lineRule="auto"/>
        <w:rPr>
          <w:rFonts w:ascii="Times New Roman" w:hAnsi="Times New Roman" w:cs="Times New Roman"/>
          <w:b/>
          <w:bCs/>
        </w:rPr>
      </w:pPr>
    </w:p>
    <w:p w14:paraId="4AABFB0E" w14:textId="139A0817" w:rsidR="0035000E" w:rsidRPr="0017288F" w:rsidRDefault="0035000E" w:rsidP="0017288F">
      <w:pPr>
        <w:spacing w:line="480" w:lineRule="auto"/>
        <w:rPr>
          <w:rFonts w:ascii="Times New Roman" w:hAnsi="Times New Roman" w:cs="Times New Roman"/>
          <w:b/>
          <w:bCs/>
        </w:rPr>
      </w:pPr>
    </w:p>
    <w:p w14:paraId="37156E84" w14:textId="0F9EECE6" w:rsidR="00BB2717" w:rsidRPr="0017288F" w:rsidRDefault="00BB2717" w:rsidP="0017288F">
      <w:pPr>
        <w:spacing w:line="480" w:lineRule="auto"/>
        <w:jc w:val="center"/>
        <w:rPr>
          <w:rFonts w:ascii="Times New Roman" w:hAnsi="Times New Roman" w:cs="Times New Roman"/>
          <w:b/>
          <w:bCs/>
        </w:rPr>
      </w:pPr>
      <w:r w:rsidRPr="0017288F">
        <w:rPr>
          <w:rFonts w:ascii="Times New Roman" w:hAnsi="Times New Roman" w:cs="Times New Roman"/>
          <w:b/>
          <w:bCs/>
        </w:rPr>
        <w:t>References</w:t>
      </w:r>
    </w:p>
    <w:p w14:paraId="23A5F8C0" w14:textId="77777777" w:rsidR="00B576B6" w:rsidRPr="0017288F" w:rsidRDefault="00B576B6" w:rsidP="00B576B6">
      <w:pPr>
        <w:spacing w:line="480" w:lineRule="auto"/>
        <w:ind w:left="720" w:hanging="720"/>
        <w:rPr>
          <w:rFonts w:ascii="Times New Roman" w:hAnsi="Times New Roman" w:cs="Times New Roman"/>
        </w:rPr>
      </w:pPr>
    </w:p>
    <w:p w14:paraId="314497BF"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lastRenderedPageBreak/>
        <w:t>Alexander, L. (2025). Scenario planning and what-if analysis for managing uncertainty in complex infrastructure projects. Unpublished teaching material, Global Business Strategy.</w:t>
      </w:r>
    </w:p>
    <w:p w14:paraId="2F7E447E"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Baumol, W. J. (2002). The free-market innovation machine: Analyzing the growth miracle of capitalism. Princeton University Press.</w:t>
      </w:r>
    </w:p>
    <w:p w14:paraId="1A1661E7"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Chesbrough, H. W. (2003). Open innovation: The new imperative for creating and profiting from technology. Harvard Business School Press.</w:t>
      </w:r>
    </w:p>
    <w:p w14:paraId="67B6A35F"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Govindarajan, V., &amp; Trimble, C. (2011). The CEO’s role in business model reinvention. Harvard Business Review, 89(1/2), 108–114.</w:t>
      </w:r>
    </w:p>
    <w:p w14:paraId="64A66626"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Haarhaus, T., &amp; Liening, A. (2020). Building dynamic capabilities to cope with environmental uncertainty: The role of strategic foresight. Technological Forecasting and Social Change, 155, 120033. </w:t>
      </w:r>
      <w:hyperlink r:id="rId7" w:history="1">
        <w:r w:rsidRPr="0017288F">
          <w:rPr>
            <w:rStyle w:val="Hyperlink"/>
            <w:rFonts w:ascii="Times New Roman" w:hAnsi="Times New Roman" w:cs="Times New Roman"/>
          </w:rPr>
          <w:t>https://doi.org/10.1016/j.techfore.2020.120033</w:t>
        </w:r>
      </w:hyperlink>
    </w:p>
    <w:p w14:paraId="5EA9BC8F"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Hall, C. M., Scott, D., &amp; </w:t>
      </w:r>
      <w:proofErr w:type="spellStart"/>
      <w:r w:rsidRPr="0017288F">
        <w:rPr>
          <w:rFonts w:ascii="Times New Roman" w:hAnsi="Times New Roman" w:cs="Times New Roman"/>
        </w:rPr>
        <w:t>Gössling</w:t>
      </w:r>
      <w:proofErr w:type="spellEnd"/>
      <w:r w:rsidRPr="0017288F">
        <w:rPr>
          <w:rFonts w:ascii="Times New Roman" w:hAnsi="Times New Roman" w:cs="Times New Roman"/>
        </w:rPr>
        <w:t xml:space="preserve">, S. (2020). Pandemics, tourism and global change: A rapid assessment of COVID-19. Journal of Sustainable Tourism, 29(1), 1–20. </w:t>
      </w:r>
      <w:hyperlink r:id="rId8" w:history="1">
        <w:r w:rsidRPr="0017288F">
          <w:rPr>
            <w:rStyle w:val="Hyperlink"/>
            <w:rFonts w:ascii="Times New Roman" w:hAnsi="Times New Roman" w:cs="Times New Roman"/>
          </w:rPr>
          <w:t>https://doi.org/10.1080/09669582.2020.1758708</w:t>
        </w:r>
      </w:hyperlink>
    </w:p>
    <w:p w14:paraId="30B3A459"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Johnson, G., Scholes, K., Whittington, R., Angwin, D., &amp; </w:t>
      </w:r>
      <w:proofErr w:type="spellStart"/>
      <w:r w:rsidRPr="0017288F">
        <w:rPr>
          <w:rFonts w:ascii="Times New Roman" w:hAnsi="Times New Roman" w:cs="Times New Roman"/>
        </w:rPr>
        <w:t>Regnér</w:t>
      </w:r>
      <w:proofErr w:type="spellEnd"/>
      <w:r w:rsidRPr="0017288F">
        <w:rPr>
          <w:rFonts w:ascii="Times New Roman" w:hAnsi="Times New Roman" w:cs="Times New Roman"/>
        </w:rPr>
        <w:t>, P. (2020). Exploring strategy: Text and cases (12th ed.). Pearson Education.</w:t>
      </w:r>
    </w:p>
    <w:p w14:paraId="76B4C178"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Lubowiecki-</w:t>
      </w:r>
      <w:proofErr w:type="spellStart"/>
      <w:r w:rsidRPr="0017288F">
        <w:rPr>
          <w:rFonts w:ascii="Times New Roman" w:hAnsi="Times New Roman" w:cs="Times New Roman"/>
        </w:rPr>
        <w:t>Vikuk</w:t>
      </w:r>
      <w:proofErr w:type="spellEnd"/>
      <w:r w:rsidRPr="0017288F">
        <w:rPr>
          <w:rFonts w:ascii="Times New Roman" w:hAnsi="Times New Roman" w:cs="Times New Roman"/>
        </w:rPr>
        <w:t xml:space="preserve">, A., </w:t>
      </w:r>
      <w:proofErr w:type="spellStart"/>
      <w:r w:rsidRPr="0017288F">
        <w:rPr>
          <w:rFonts w:ascii="Times New Roman" w:hAnsi="Times New Roman" w:cs="Times New Roman"/>
        </w:rPr>
        <w:t>Budzanowska</w:t>
      </w:r>
      <w:proofErr w:type="spellEnd"/>
      <w:r w:rsidRPr="0017288F">
        <w:rPr>
          <w:rFonts w:ascii="Times New Roman" w:hAnsi="Times New Roman" w:cs="Times New Roman"/>
        </w:rPr>
        <w:t xml:space="preserve">-Drzewiecka, M., Borzyszkowski, J., &amp; Taheri, B. (2023). Critical reflection on VUCA in tourism and hospitality marketing activities. International Journal of Contemporary Hospitality Management, 35(6), 2204–2226. </w:t>
      </w:r>
      <w:hyperlink r:id="rId9" w:history="1">
        <w:r w:rsidRPr="0017288F">
          <w:rPr>
            <w:rStyle w:val="Hyperlink"/>
            <w:rFonts w:ascii="Times New Roman" w:hAnsi="Times New Roman" w:cs="Times New Roman"/>
          </w:rPr>
          <w:t>https://doi.org/10.1108/IJCHM-11-2022-1385</w:t>
        </w:r>
      </w:hyperlink>
    </w:p>
    <w:p w14:paraId="0F6F2251"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lastRenderedPageBreak/>
        <w:t>McKeown, M. (2008). The truth about innovation. Pearson Education.</w:t>
      </w:r>
    </w:p>
    <w:p w14:paraId="35842B82"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Phillips, P., &amp; Moutinho, L. (2018). Contemporary issues in strategic management (1st ed.). Routledge.</w:t>
      </w:r>
    </w:p>
    <w:p w14:paraId="2A85E8E7"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Postma, A. (2015). Investigating scenario planning – A European tourism perspective. Journal of Tourism Futures, 1(1), 46–52. </w:t>
      </w:r>
      <w:hyperlink r:id="rId10" w:history="1">
        <w:r w:rsidRPr="0017288F">
          <w:rPr>
            <w:rStyle w:val="Hyperlink"/>
            <w:rFonts w:ascii="Times New Roman" w:hAnsi="Times New Roman" w:cs="Times New Roman"/>
          </w:rPr>
          <w:t>https://doi.org/10.1108/JTF-12-2014-0020</w:t>
        </w:r>
      </w:hyperlink>
    </w:p>
    <w:p w14:paraId="6E44B51D"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Prahalad, C. K. (2004). The blinders of dominant logic. Long Range Planning, 37(2), 171–179. </w:t>
      </w:r>
      <w:hyperlink r:id="rId11" w:history="1">
        <w:r w:rsidRPr="0017288F">
          <w:rPr>
            <w:rStyle w:val="Hyperlink"/>
            <w:rFonts w:ascii="Times New Roman" w:hAnsi="Times New Roman" w:cs="Times New Roman"/>
          </w:rPr>
          <w:t>https://doi.org/10.1016/j.lrp.2004.01.010</w:t>
        </w:r>
      </w:hyperlink>
    </w:p>
    <w:p w14:paraId="5CE51983"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Rohrbeck, R., &amp; Schwarz, J. O. (2013). The value contribution of strategic foresight: Insights from an empirical study of large European companies. Technological Forecasting and Social Change, 80(8), 1593–1606. </w:t>
      </w:r>
      <w:hyperlink r:id="rId12" w:history="1">
        <w:r w:rsidRPr="0017288F">
          <w:rPr>
            <w:rStyle w:val="Hyperlink"/>
            <w:rFonts w:ascii="Times New Roman" w:hAnsi="Times New Roman" w:cs="Times New Roman"/>
          </w:rPr>
          <w:t>https://doi.org/10.1016/j.techfore.2013.01.005</w:t>
        </w:r>
      </w:hyperlink>
    </w:p>
    <w:p w14:paraId="5C1099B8"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Schoemaker, P. J. H. (1995). Scenario planning: A tool for strategic thinking. Sloan Management Review, 36(2), 25–40. </w:t>
      </w:r>
      <w:hyperlink r:id="rId13" w:history="1">
        <w:r w:rsidRPr="0017288F">
          <w:rPr>
            <w:rStyle w:val="Hyperlink"/>
            <w:rFonts w:ascii="Times New Roman" w:hAnsi="Times New Roman" w:cs="Times New Roman"/>
          </w:rPr>
          <w:t>https://sloanreview.mit.edu/article/scenario-planning-a-tool-for-strategic-thinking/</w:t>
        </w:r>
      </w:hyperlink>
    </w:p>
    <w:p w14:paraId="03E60D9A"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Schoemaker, P. J. H. (1995). Scenario planning: A tool for strategic thinking. Sloan Management Review, 36(2), 25–40. </w:t>
      </w:r>
      <w:hyperlink r:id="rId14" w:history="1">
        <w:r w:rsidRPr="0017288F">
          <w:rPr>
            <w:rStyle w:val="Hyperlink"/>
            <w:rFonts w:ascii="Times New Roman" w:hAnsi="Times New Roman" w:cs="Times New Roman"/>
          </w:rPr>
          <w:t>https://sloanreview.mit.edu/article/scenario-planning-a-tool-for-strategic-thinking/</w:t>
        </w:r>
      </w:hyperlink>
    </w:p>
    <w:p w14:paraId="2BA473AF"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Schoemaker, P. J. H., Heaton, S., &amp; Teece, D. J. (2018). Innovation, dynamic capabilities, and leadership. California Management Review, 61(1), 15–42. </w:t>
      </w:r>
      <w:hyperlink r:id="rId15" w:history="1">
        <w:r w:rsidRPr="0017288F">
          <w:rPr>
            <w:rStyle w:val="Hyperlink"/>
            <w:rFonts w:ascii="Times New Roman" w:hAnsi="Times New Roman" w:cs="Times New Roman"/>
          </w:rPr>
          <w:t>https://doi.org/10.1177/0008125618790246</w:t>
        </w:r>
      </w:hyperlink>
    </w:p>
    <w:p w14:paraId="5EF6D6E4"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Statistics Canada. (2006). </w:t>
      </w:r>
      <w:proofErr w:type="spellStart"/>
      <w:r w:rsidRPr="0017288F">
        <w:rPr>
          <w:rFonts w:ascii="Times New Roman" w:hAnsi="Times New Roman" w:cs="Times New Roman"/>
        </w:rPr>
        <w:t>Labour</w:t>
      </w:r>
      <w:proofErr w:type="spellEnd"/>
      <w:r w:rsidRPr="0017288F">
        <w:rPr>
          <w:rFonts w:ascii="Times New Roman" w:hAnsi="Times New Roman" w:cs="Times New Roman"/>
        </w:rPr>
        <w:t xml:space="preserve"> Force Survey. Statistics Canada.</w:t>
      </w:r>
    </w:p>
    <w:p w14:paraId="3E9ECC42"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lastRenderedPageBreak/>
        <w:t xml:space="preserve">Teece, D. J. (2007). Explicating dynamic capabilities: The nature and </w:t>
      </w:r>
      <w:proofErr w:type="spellStart"/>
      <w:r w:rsidRPr="0017288F">
        <w:rPr>
          <w:rFonts w:ascii="Times New Roman" w:hAnsi="Times New Roman" w:cs="Times New Roman"/>
        </w:rPr>
        <w:t>microfoundations</w:t>
      </w:r>
      <w:proofErr w:type="spellEnd"/>
      <w:r w:rsidRPr="0017288F">
        <w:rPr>
          <w:rFonts w:ascii="Times New Roman" w:hAnsi="Times New Roman" w:cs="Times New Roman"/>
        </w:rPr>
        <w:t xml:space="preserve"> of (sustainable) enterprise performance. Strategic Management Journal, 28(13), 1319–1350. </w:t>
      </w:r>
      <w:hyperlink r:id="rId16" w:history="1">
        <w:r w:rsidRPr="0017288F">
          <w:rPr>
            <w:rStyle w:val="Hyperlink"/>
            <w:rFonts w:ascii="Times New Roman" w:hAnsi="Times New Roman" w:cs="Times New Roman"/>
          </w:rPr>
          <w:t>https://doi.org/10.1002/smj.640</w:t>
        </w:r>
      </w:hyperlink>
    </w:p>
    <w:p w14:paraId="6D0EDB3D"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Teece, D. J. (2012). Dynamic capabilities: Routines versus entrepreneurial action. Journal of Management Studies, 49(8), 1395–1401. </w:t>
      </w:r>
      <w:hyperlink r:id="rId17" w:history="1">
        <w:r w:rsidRPr="0017288F">
          <w:rPr>
            <w:rStyle w:val="Hyperlink"/>
            <w:rFonts w:ascii="Times New Roman" w:hAnsi="Times New Roman" w:cs="Times New Roman"/>
          </w:rPr>
          <w:t>https://doi.org/10.1111/j.1467-6486.2012.01080.x</w:t>
        </w:r>
      </w:hyperlink>
    </w:p>
    <w:p w14:paraId="6DFD9623"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Teece, D. J. (2016). Dynamic capabilities and entrepreneurial management in large organizations: Toward a theory of the (entrepreneurial) firm. European Economic Review, 86, 202–216. </w:t>
      </w:r>
      <w:hyperlink r:id="rId18" w:history="1">
        <w:r w:rsidRPr="0017288F">
          <w:rPr>
            <w:rStyle w:val="Hyperlink"/>
            <w:rFonts w:ascii="Times New Roman" w:hAnsi="Times New Roman" w:cs="Times New Roman"/>
          </w:rPr>
          <w:t>https://doi.org/10.1016/j.euroecorev.2015.11.006</w:t>
        </w:r>
      </w:hyperlink>
    </w:p>
    <w:p w14:paraId="3475BAF8"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Teece, D. J., Leih, S. (2016). Uncertainty, innovation, and dynamic capabilities: An introduction. California Management Review, 58(4), 5–12. </w:t>
      </w:r>
      <w:hyperlink r:id="rId19" w:history="1">
        <w:r w:rsidRPr="0017288F">
          <w:rPr>
            <w:rStyle w:val="Hyperlink"/>
            <w:rFonts w:ascii="Times New Roman" w:hAnsi="Times New Roman" w:cs="Times New Roman"/>
          </w:rPr>
          <w:t>https://doi.org/10.1525/cmr.2016.58.4.5</w:t>
        </w:r>
      </w:hyperlink>
    </w:p>
    <w:p w14:paraId="2392987B"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Teece, D. J., </w:t>
      </w:r>
      <w:proofErr w:type="spellStart"/>
      <w:r w:rsidRPr="0017288F">
        <w:rPr>
          <w:rFonts w:ascii="Times New Roman" w:hAnsi="Times New Roman" w:cs="Times New Roman"/>
        </w:rPr>
        <w:t>Peteraf</w:t>
      </w:r>
      <w:proofErr w:type="spellEnd"/>
      <w:r w:rsidRPr="0017288F">
        <w:rPr>
          <w:rFonts w:ascii="Times New Roman" w:hAnsi="Times New Roman" w:cs="Times New Roman"/>
        </w:rPr>
        <w:t xml:space="preserve">, M., &amp; Leih, S. (2016). Dynamic capabilities and organizational agility: Risk, uncertainty, and strategy in the innovation economy. California Management Review, 58(4), 13–35. </w:t>
      </w:r>
      <w:hyperlink r:id="rId20" w:history="1">
        <w:r w:rsidRPr="0017288F">
          <w:rPr>
            <w:rStyle w:val="Hyperlink"/>
            <w:rFonts w:ascii="Times New Roman" w:hAnsi="Times New Roman" w:cs="Times New Roman"/>
          </w:rPr>
          <w:t>https://doi.org/10.1525/cmr.2016.58.4.13</w:t>
        </w:r>
      </w:hyperlink>
    </w:p>
    <w:p w14:paraId="49F07F19"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Teece, D. J., Pisano, G., &amp; </w:t>
      </w:r>
      <w:proofErr w:type="spellStart"/>
      <w:r w:rsidRPr="0017288F">
        <w:rPr>
          <w:rFonts w:ascii="Times New Roman" w:hAnsi="Times New Roman" w:cs="Times New Roman"/>
        </w:rPr>
        <w:t>Shuen</w:t>
      </w:r>
      <w:proofErr w:type="spellEnd"/>
      <w:r w:rsidRPr="0017288F">
        <w:rPr>
          <w:rFonts w:ascii="Times New Roman" w:hAnsi="Times New Roman" w:cs="Times New Roman"/>
        </w:rPr>
        <w:t xml:space="preserve">, A. (1997). Dynamic capabilities and strategic management. Strategic Management Journal, 18(7), 509–533. </w:t>
      </w:r>
      <w:hyperlink r:id="rId21" w:history="1">
        <w:r w:rsidRPr="0017288F">
          <w:rPr>
            <w:rStyle w:val="Hyperlink"/>
            <w:rFonts w:ascii="Times New Roman" w:hAnsi="Times New Roman" w:cs="Times New Roman"/>
          </w:rPr>
          <w:t>https://doi.org/10.1002/(SICI)1097-0266(199708)18:7</w:t>
        </w:r>
      </w:hyperlink>
      <w:r w:rsidRPr="0017288F">
        <w:rPr>
          <w:rFonts w:ascii="Times New Roman" w:hAnsi="Times New Roman" w:cs="Times New Roman"/>
        </w:rPr>
        <w:t>&lt;509::AID-SMJ882&gt;3.0.CO;2-Z</w:t>
      </w:r>
    </w:p>
    <w:p w14:paraId="454C882A" w14:textId="77777777" w:rsidR="00B576B6" w:rsidRPr="0017288F" w:rsidRDefault="00B576B6" w:rsidP="00B576B6">
      <w:pPr>
        <w:spacing w:line="480" w:lineRule="auto"/>
        <w:ind w:left="720" w:hanging="720"/>
        <w:rPr>
          <w:rFonts w:ascii="Times New Roman" w:hAnsi="Times New Roman" w:cs="Times New Roman"/>
        </w:rPr>
      </w:pPr>
      <w:proofErr w:type="spellStart"/>
      <w:r w:rsidRPr="0017288F">
        <w:rPr>
          <w:rFonts w:ascii="Times New Roman" w:hAnsi="Times New Roman" w:cs="Times New Roman"/>
        </w:rPr>
        <w:t>Vecchiato</w:t>
      </w:r>
      <w:proofErr w:type="spellEnd"/>
      <w:r w:rsidRPr="0017288F">
        <w:rPr>
          <w:rFonts w:ascii="Times New Roman" w:hAnsi="Times New Roman" w:cs="Times New Roman"/>
        </w:rPr>
        <w:t>, R. (2015). Strategic planning and organizational flexibility in turbulent environments. Journal of Management &amp; Governance, 19(1), 21–41.</w:t>
      </w:r>
    </w:p>
    <w:p w14:paraId="24107A5E"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 xml:space="preserve">VUCA Is Reshaping The Business Environment, And What It Means For Innovation. (2020). Forbes Insights Report. Retrieved from </w:t>
      </w:r>
      <w:hyperlink r:id="rId22" w:history="1">
        <w:r w:rsidRPr="0017288F">
          <w:rPr>
            <w:rStyle w:val="Hyperlink"/>
            <w:rFonts w:ascii="Times New Roman" w:hAnsi="Times New Roman" w:cs="Times New Roman"/>
          </w:rPr>
          <w:t>https://www.forbes.com/</w:t>
        </w:r>
      </w:hyperlink>
    </w:p>
    <w:p w14:paraId="27332A16" w14:textId="77777777" w:rsidR="00B576B6" w:rsidRPr="0017288F"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lastRenderedPageBreak/>
        <w:t xml:space="preserve">Wilkinson, A., &amp; </w:t>
      </w:r>
      <w:proofErr w:type="spellStart"/>
      <w:r w:rsidRPr="0017288F">
        <w:rPr>
          <w:rFonts w:ascii="Times New Roman" w:hAnsi="Times New Roman" w:cs="Times New Roman"/>
        </w:rPr>
        <w:t>Kupers</w:t>
      </w:r>
      <w:proofErr w:type="spellEnd"/>
      <w:r w:rsidRPr="0017288F">
        <w:rPr>
          <w:rFonts w:ascii="Times New Roman" w:hAnsi="Times New Roman" w:cs="Times New Roman"/>
        </w:rPr>
        <w:t xml:space="preserve">, R. (2013). Living in the futures. Harvard Business Review, 91(5), 118–127. </w:t>
      </w:r>
      <w:hyperlink r:id="rId23" w:history="1">
        <w:r w:rsidRPr="0017288F">
          <w:rPr>
            <w:rStyle w:val="Hyperlink"/>
            <w:rFonts w:ascii="Times New Roman" w:hAnsi="Times New Roman" w:cs="Times New Roman"/>
          </w:rPr>
          <w:t>https://hbr.org/2013/05/living-in-the-futures</w:t>
        </w:r>
      </w:hyperlink>
    </w:p>
    <w:p w14:paraId="70E261D6" w14:textId="77777777" w:rsidR="00B576B6" w:rsidRDefault="00B576B6" w:rsidP="00B576B6">
      <w:pPr>
        <w:spacing w:line="480" w:lineRule="auto"/>
        <w:ind w:left="720" w:hanging="720"/>
        <w:rPr>
          <w:rFonts w:ascii="Times New Roman" w:hAnsi="Times New Roman" w:cs="Times New Roman"/>
        </w:rPr>
      </w:pPr>
      <w:r w:rsidRPr="0017288F">
        <w:rPr>
          <w:rFonts w:ascii="Times New Roman" w:hAnsi="Times New Roman" w:cs="Times New Roman"/>
        </w:rPr>
        <w:t>Willetts, D. (2014). Innovation report 2014: Innovation, research and growth. UK Department for Business, Innovation and Skills.</w:t>
      </w:r>
    </w:p>
    <w:p w14:paraId="5D155EEE" w14:textId="77777777" w:rsidR="00E63232" w:rsidRPr="00E63232" w:rsidRDefault="00E63232" w:rsidP="00E63232">
      <w:pPr>
        <w:rPr>
          <w:rFonts w:ascii="Times New Roman" w:hAnsi="Times New Roman" w:cs="Times New Roman"/>
        </w:rPr>
      </w:pPr>
    </w:p>
    <w:p w14:paraId="2F1B0B06" w14:textId="77777777" w:rsidR="00E63232" w:rsidRPr="00E63232" w:rsidRDefault="00E63232" w:rsidP="00E63232">
      <w:pPr>
        <w:rPr>
          <w:rFonts w:ascii="Times New Roman" w:hAnsi="Times New Roman" w:cs="Times New Roman"/>
        </w:rPr>
      </w:pPr>
    </w:p>
    <w:p w14:paraId="1F23D44E" w14:textId="77777777" w:rsidR="00E63232" w:rsidRPr="00E63232" w:rsidRDefault="00E63232" w:rsidP="00E63232">
      <w:pPr>
        <w:rPr>
          <w:rFonts w:ascii="Times New Roman" w:hAnsi="Times New Roman" w:cs="Times New Roman"/>
        </w:rPr>
      </w:pPr>
    </w:p>
    <w:p w14:paraId="26C0CCD2" w14:textId="77777777" w:rsidR="00E63232" w:rsidRPr="00E63232" w:rsidRDefault="00E63232" w:rsidP="00E63232">
      <w:pPr>
        <w:rPr>
          <w:rFonts w:ascii="Times New Roman" w:hAnsi="Times New Roman" w:cs="Times New Roman"/>
        </w:rPr>
      </w:pPr>
    </w:p>
    <w:p w14:paraId="01D02DA7" w14:textId="77777777" w:rsidR="00E63232" w:rsidRPr="00E63232" w:rsidRDefault="00E63232" w:rsidP="00E63232">
      <w:pPr>
        <w:rPr>
          <w:rFonts w:ascii="Times New Roman" w:hAnsi="Times New Roman" w:cs="Times New Roman"/>
        </w:rPr>
      </w:pPr>
    </w:p>
    <w:p w14:paraId="430C38BC" w14:textId="77777777" w:rsidR="00E63232" w:rsidRPr="00E63232" w:rsidRDefault="00E63232" w:rsidP="00E63232">
      <w:pPr>
        <w:rPr>
          <w:rFonts w:ascii="Times New Roman" w:hAnsi="Times New Roman" w:cs="Times New Roman"/>
        </w:rPr>
      </w:pPr>
    </w:p>
    <w:p w14:paraId="02938D78" w14:textId="77777777" w:rsidR="00E63232" w:rsidRPr="00E63232" w:rsidRDefault="00E63232" w:rsidP="00E63232">
      <w:pPr>
        <w:rPr>
          <w:rFonts w:ascii="Times New Roman" w:hAnsi="Times New Roman" w:cs="Times New Roman"/>
        </w:rPr>
      </w:pPr>
    </w:p>
    <w:p w14:paraId="28B20847" w14:textId="77777777" w:rsidR="00E63232" w:rsidRPr="00E63232" w:rsidRDefault="00E63232" w:rsidP="00E63232">
      <w:pPr>
        <w:rPr>
          <w:rFonts w:ascii="Times New Roman" w:hAnsi="Times New Roman" w:cs="Times New Roman"/>
        </w:rPr>
      </w:pPr>
    </w:p>
    <w:p w14:paraId="0B5F7D39" w14:textId="4B976CD9" w:rsidR="00E63232" w:rsidRDefault="00E63232" w:rsidP="00E63232">
      <w:pPr>
        <w:tabs>
          <w:tab w:val="left" w:pos="1752"/>
        </w:tabs>
        <w:rPr>
          <w:rFonts w:ascii="Times New Roman" w:hAnsi="Times New Roman" w:cs="Times New Roman"/>
        </w:rPr>
      </w:pPr>
    </w:p>
    <w:p w14:paraId="6D2A61B1" w14:textId="77777777" w:rsidR="00E63232" w:rsidRDefault="00E63232" w:rsidP="00E63232">
      <w:pPr>
        <w:tabs>
          <w:tab w:val="left" w:pos="1752"/>
        </w:tabs>
        <w:rPr>
          <w:rFonts w:ascii="Times New Roman" w:hAnsi="Times New Roman" w:cs="Times New Roman"/>
        </w:rPr>
      </w:pPr>
    </w:p>
    <w:p w14:paraId="329C9C22" w14:textId="77777777" w:rsidR="00E63232" w:rsidRDefault="00E63232" w:rsidP="00E63232">
      <w:pPr>
        <w:tabs>
          <w:tab w:val="left" w:pos="1752"/>
        </w:tabs>
        <w:rPr>
          <w:rFonts w:ascii="Times New Roman" w:hAnsi="Times New Roman" w:cs="Times New Roman"/>
        </w:rPr>
      </w:pPr>
    </w:p>
    <w:p w14:paraId="57E74F28" w14:textId="77777777" w:rsidR="00E63232" w:rsidRDefault="00E63232" w:rsidP="00E63232">
      <w:pPr>
        <w:tabs>
          <w:tab w:val="left" w:pos="1752"/>
        </w:tabs>
        <w:rPr>
          <w:rFonts w:ascii="Times New Roman" w:hAnsi="Times New Roman" w:cs="Times New Roman"/>
        </w:rPr>
      </w:pPr>
    </w:p>
    <w:p w14:paraId="19F09453" w14:textId="77777777" w:rsidR="00E63232" w:rsidRPr="00E63232" w:rsidRDefault="00E63232" w:rsidP="00E63232">
      <w:pPr>
        <w:tabs>
          <w:tab w:val="left" w:pos="1752"/>
        </w:tabs>
        <w:rPr>
          <w:rFonts w:ascii="Times New Roman" w:hAnsi="Times New Roman" w:cs="Times New Roman"/>
        </w:rPr>
      </w:pPr>
    </w:p>
    <w:sectPr w:rsidR="00E63232" w:rsidRPr="00E632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B89A1" w14:textId="77777777" w:rsidR="00EB4FD4" w:rsidRDefault="00EB4FD4" w:rsidP="00BB2717">
      <w:pPr>
        <w:spacing w:after="0" w:line="240" w:lineRule="auto"/>
      </w:pPr>
      <w:r>
        <w:separator/>
      </w:r>
    </w:p>
  </w:endnote>
  <w:endnote w:type="continuationSeparator" w:id="0">
    <w:p w14:paraId="5FC8BFB1" w14:textId="77777777" w:rsidR="00EB4FD4" w:rsidRDefault="00EB4FD4" w:rsidP="00BB2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1A702" w14:textId="77777777" w:rsidR="00EB4FD4" w:rsidRDefault="00EB4FD4" w:rsidP="00BB2717">
      <w:pPr>
        <w:spacing w:after="0" w:line="240" w:lineRule="auto"/>
      </w:pPr>
      <w:r>
        <w:separator/>
      </w:r>
    </w:p>
  </w:footnote>
  <w:footnote w:type="continuationSeparator" w:id="0">
    <w:p w14:paraId="417DB04C" w14:textId="77777777" w:rsidR="00EB4FD4" w:rsidRDefault="00EB4FD4" w:rsidP="00BB27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0E8"/>
    <w:multiLevelType w:val="multilevel"/>
    <w:tmpl w:val="26BA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64BEC"/>
    <w:multiLevelType w:val="multilevel"/>
    <w:tmpl w:val="B7E8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94148"/>
    <w:multiLevelType w:val="multilevel"/>
    <w:tmpl w:val="573AE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E2F2A"/>
    <w:multiLevelType w:val="multilevel"/>
    <w:tmpl w:val="516AD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24D32"/>
    <w:multiLevelType w:val="multilevel"/>
    <w:tmpl w:val="8586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556DF"/>
    <w:multiLevelType w:val="multilevel"/>
    <w:tmpl w:val="C54A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8516E"/>
    <w:multiLevelType w:val="multilevel"/>
    <w:tmpl w:val="6CF4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07961"/>
    <w:multiLevelType w:val="multilevel"/>
    <w:tmpl w:val="9C7A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F48D2"/>
    <w:multiLevelType w:val="multilevel"/>
    <w:tmpl w:val="E316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200D5"/>
    <w:multiLevelType w:val="multilevel"/>
    <w:tmpl w:val="589CB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26DA5"/>
    <w:multiLevelType w:val="multilevel"/>
    <w:tmpl w:val="3F58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74D9D"/>
    <w:multiLevelType w:val="multilevel"/>
    <w:tmpl w:val="7DA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87E08"/>
    <w:multiLevelType w:val="multilevel"/>
    <w:tmpl w:val="8DAE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713EC"/>
    <w:multiLevelType w:val="multilevel"/>
    <w:tmpl w:val="1668D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A55CD"/>
    <w:multiLevelType w:val="multilevel"/>
    <w:tmpl w:val="E4BCA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33491"/>
    <w:multiLevelType w:val="multilevel"/>
    <w:tmpl w:val="AACE3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E5BC8"/>
    <w:multiLevelType w:val="multilevel"/>
    <w:tmpl w:val="AE462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23BC6"/>
    <w:multiLevelType w:val="multilevel"/>
    <w:tmpl w:val="AD26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C0DE0"/>
    <w:multiLevelType w:val="multilevel"/>
    <w:tmpl w:val="0F48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56B2B"/>
    <w:multiLevelType w:val="multilevel"/>
    <w:tmpl w:val="569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475AB"/>
    <w:multiLevelType w:val="multilevel"/>
    <w:tmpl w:val="D592D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C342D3"/>
    <w:multiLevelType w:val="multilevel"/>
    <w:tmpl w:val="BB90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522C13"/>
    <w:multiLevelType w:val="multilevel"/>
    <w:tmpl w:val="40E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A3765"/>
    <w:multiLevelType w:val="multilevel"/>
    <w:tmpl w:val="DAAA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227A05"/>
    <w:multiLevelType w:val="multilevel"/>
    <w:tmpl w:val="C9D45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87022F"/>
    <w:multiLevelType w:val="multilevel"/>
    <w:tmpl w:val="C2BA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030433">
    <w:abstractNumId w:val="19"/>
  </w:num>
  <w:num w:numId="2" w16cid:durableId="226766529">
    <w:abstractNumId w:val="7"/>
  </w:num>
  <w:num w:numId="3" w16cid:durableId="540555419">
    <w:abstractNumId w:val="22"/>
  </w:num>
  <w:num w:numId="4" w16cid:durableId="844634298">
    <w:abstractNumId w:val="9"/>
  </w:num>
  <w:num w:numId="5" w16cid:durableId="1831821534">
    <w:abstractNumId w:val="12"/>
  </w:num>
  <w:num w:numId="6" w16cid:durableId="1265842840">
    <w:abstractNumId w:val="14"/>
  </w:num>
  <w:num w:numId="7" w16cid:durableId="759712758">
    <w:abstractNumId w:val="13"/>
  </w:num>
  <w:num w:numId="8" w16cid:durableId="1014452126">
    <w:abstractNumId w:val="16"/>
  </w:num>
  <w:num w:numId="9" w16cid:durableId="1637489381">
    <w:abstractNumId w:val="6"/>
  </w:num>
  <w:num w:numId="10" w16cid:durableId="749812119">
    <w:abstractNumId w:val="23"/>
  </w:num>
  <w:num w:numId="11" w16cid:durableId="788817123">
    <w:abstractNumId w:val="11"/>
  </w:num>
  <w:num w:numId="12" w16cid:durableId="719550687">
    <w:abstractNumId w:val="2"/>
  </w:num>
  <w:num w:numId="13" w16cid:durableId="1815835418">
    <w:abstractNumId w:val="24"/>
  </w:num>
  <w:num w:numId="14" w16cid:durableId="1228538386">
    <w:abstractNumId w:val="8"/>
  </w:num>
  <w:num w:numId="15" w16cid:durableId="1869486732">
    <w:abstractNumId w:val="0"/>
  </w:num>
  <w:num w:numId="16" w16cid:durableId="292447186">
    <w:abstractNumId w:val="10"/>
  </w:num>
  <w:num w:numId="17" w16cid:durableId="1080323231">
    <w:abstractNumId w:val="4"/>
  </w:num>
  <w:num w:numId="18" w16cid:durableId="1256088272">
    <w:abstractNumId w:val="1"/>
  </w:num>
  <w:num w:numId="19" w16cid:durableId="31463078">
    <w:abstractNumId w:val="25"/>
  </w:num>
  <w:num w:numId="20" w16cid:durableId="1815677545">
    <w:abstractNumId w:val="17"/>
  </w:num>
  <w:num w:numId="21" w16cid:durableId="460345803">
    <w:abstractNumId w:val="15"/>
  </w:num>
  <w:num w:numId="22" w16cid:durableId="13769189">
    <w:abstractNumId w:val="5"/>
  </w:num>
  <w:num w:numId="23" w16cid:durableId="1840654055">
    <w:abstractNumId w:val="3"/>
  </w:num>
  <w:num w:numId="24" w16cid:durableId="683897871">
    <w:abstractNumId w:val="20"/>
  </w:num>
  <w:num w:numId="25" w16cid:durableId="1116103028">
    <w:abstractNumId w:val="21"/>
  </w:num>
  <w:num w:numId="26" w16cid:durableId="5124573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C2A"/>
    <w:rsid w:val="00135CB7"/>
    <w:rsid w:val="0017288F"/>
    <w:rsid w:val="002759FF"/>
    <w:rsid w:val="00335430"/>
    <w:rsid w:val="0035000E"/>
    <w:rsid w:val="003B46C9"/>
    <w:rsid w:val="004D06A1"/>
    <w:rsid w:val="005029B1"/>
    <w:rsid w:val="006162EA"/>
    <w:rsid w:val="007519DA"/>
    <w:rsid w:val="00857121"/>
    <w:rsid w:val="00933A70"/>
    <w:rsid w:val="00A76561"/>
    <w:rsid w:val="00AA1599"/>
    <w:rsid w:val="00B00724"/>
    <w:rsid w:val="00B042F6"/>
    <w:rsid w:val="00B576B6"/>
    <w:rsid w:val="00BB2717"/>
    <w:rsid w:val="00D612F2"/>
    <w:rsid w:val="00DB5C2A"/>
    <w:rsid w:val="00DF49B6"/>
    <w:rsid w:val="00E63232"/>
    <w:rsid w:val="00E7076C"/>
    <w:rsid w:val="00EB2757"/>
    <w:rsid w:val="00EB4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D023"/>
  <w15:chartTrackingRefBased/>
  <w15:docId w15:val="{67AF1124-4D9C-4084-8326-24A0645C7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B5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B5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C2A"/>
    <w:rPr>
      <w:rFonts w:eastAsiaTheme="majorEastAsia" w:cstheme="majorBidi"/>
      <w:color w:val="272727" w:themeColor="text1" w:themeTint="D8"/>
    </w:rPr>
  </w:style>
  <w:style w:type="paragraph" w:styleId="Title">
    <w:name w:val="Title"/>
    <w:basedOn w:val="Normal"/>
    <w:next w:val="Normal"/>
    <w:link w:val="TitleChar"/>
    <w:uiPriority w:val="10"/>
    <w:qFormat/>
    <w:rsid w:val="00DB5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C2A"/>
    <w:pPr>
      <w:spacing w:before="160"/>
      <w:jc w:val="center"/>
    </w:pPr>
    <w:rPr>
      <w:i/>
      <w:iCs/>
      <w:color w:val="404040" w:themeColor="text1" w:themeTint="BF"/>
    </w:rPr>
  </w:style>
  <w:style w:type="character" w:customStyle="1" w:styleId="QuoteChar">
    <w:name w:val="Quote Char"/>
    <w:basedOn w:val="DefaultParagraphFont"/>
    <w:link w:val="Quote"/>
    <w:uiPriority w:val="29"/>
    <w:rsid w:val="00DB5C2A"/>
    <w:rPr>
      <w:i/>
      <w:iCs/>
      <w:color w:val="404040" w:themeColor="text1" w:themeTint="BF"/>
    </w:rPr>
  </w:style>
  <w:style w:type="paragraph" w:styleId="ListParagraph">
    <w:name w:val="List Paragraph"/>
    <w:basedOn w:val="Normal"/>
    <w:uiPriority w:val="34"/>
    <w:qFormat/>
    <w:rsid w:val="00DB5C2A"/>
    <w:pPr>
      <w:ind w:left="720"/>
      <w:contextualSpacing/>
    </w:pPr>
  </w:style>
  <w:style w:type="character" w:styleId="IntenseEmphasis">
    <w:name w:val="Intense Emphasis"/>
    <w:basedOn w:val="DefaultParagraphFont"/>
    <w:uiPriority w:val="21"/>
    <w:qFormat/>
    <w:rsid w:val="00DB5C2A"/>
    <w:rPr>
      <w:i/>
      <w:iCs/>
      <w:color w:val="2F5496" w:themeColor="accent1" w:themeShade="BF"/>
    </w:rPr>
  </w:style>
  <w:style w:type="paragraph" w:styleId="IntenseQuote">
    <w:name w:val="Intense Quote"/>
    <w:basedOn w:val="Normal"/>
    <w:next w:val="Normal"/>
    <w:link w:val="IntenseQuoteChar"/>
    <w:uiPriority w:val="30"/>
    <w:qFormat/>
    <w:rsid w:val="00DB5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C2A"/>
    <w:rPr>
      <w:i/>
      <w:iCs/>
      <w:color w:val="2F5496" w:themeColor="accent1" w:themeShade="BF"/>
    </w:rPr>
  </w:style>
  <w:style w:type="character" w:styleId="IntenseReference">
    <w:name w:val="Intense Reference"/>
    <w:basedOn w:val="DefaultParagraphFont"/>
    <w:uiPriority w:val="32"/>
    <w:qFormat/>
    <w:rsid w:val="00DB5C2A"/>
    <w:rPr>
      <w:b/>
      <w:bCs/>
      <w:smallCaps/>
      <w:color w:val="2F5496" w:themeColor="accent1" w:themeShade="BF"/>
      <w:spacing w:val="5"/>
    </w:rPr>
  </w:style>
  <w:style w:type="character" w:styleId="Hyperlink">
    <w:name w:val="Hyperlink"/>
    <w:basedOn w:val="DefaultParagraphFont"/>
    <w:uiPriority w:val="99"/>
    <w:unhideWhenUsed/>
    <w:rsid w:val="00BB2717"/>
    <w:rPr>
      <w:color w:val="0563C1" w:themeColor="hyperlink"/>
      <w:u w:val="single"/>
    </w:rPr>
  </w:style>
  <w:style w:type="character" w:customStyle="1" w:styleId="UnresolvedMention1">
    <w:name w:val="Unresolved Mention1"/>
    <w:basedOn w:val="DefaultParagraphFont"/>
    <w:uiPriority w:val="99"/>
    <w:semiHidden/>
    <w:unhideWhenUsed/>
    <w:rsid w:val="00BB2717"/>
    <w:rPr>
      <w:color w:val="605E5C"/>
      <w:shd w:val="clear" w:color="auto" w:fill="E1DFDD"/>
    </w:rPr>
  </w:style>
  <w:style w:type="paragraph" w:styleId="Header">
    <w:name w:val="header"/>
    <w:basedOn w:val="Normal"/>
    <w:link w:val="HeaderChar"/>
    <w:uiPriority w:val="99"/>
    <w:unhideWhenUsed/>
    <w:rsid w:val="00BB27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717"/>
  </w:style>
  <w:style w:type="paragraph" w:styleId="Footer">
    <w:name w:val="footer"/>
    <w:basedOn w:val="Normal"/>
    <w:link w:val="FooterChar"/>
    <w:uiPriority w:val="99"/>
    <w:unhideWhenUsed/>
    <w:rsid w:val="00BB27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717"/>
  </w:style>
  <w:style w:type="paragraph" w:styleId="NormalWeb">
    <w:name w:val="Normal (Web)"/>
    <w:basedOn w:val="Normal"/>
    <w:uiPriority w:val="99"/>
    <w:semiHidden/>
    <w:unhideWhenUsed/>
    <w:rsid w:val="00B042F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98358">
      <w:bodyDiv w:val="1"/>
      <w:marLeft w:val="0"/>
      <w:marRight w:val="0"/>
      <w:marTop w:val="0"/>
      <w:marBottom w:val="0"/>
      <w:divBdr>
        <w:top w:val="none" w:sz="0" w:space="0" w:color="auto"/>
        <w:left w:val="none" w:sz="0" w:space="0" w:color="auto"/>
        <w:bottom w:val="none" w:sz="0" w:space="0" w:color="auto"/>
        <w:right w:val="none" w:sz="0" w:space="0" w:color="auto"/>
      </w:divBdr>
    </w:div>
    <w:div w:id="595601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9669582.2020.1758708" TargetMode="External"/><Relationship Id="rId13" Type="http://schemas.openxmlformats.org/officeDocument/2006/relationships/hyperlink" Target="https://sloanreview.mit.edu/article/scenario-planning-a-tool-for-strategic-thinking/" TargetMode="External"/><Relationship Id="rId18" Type="http://schemas.openxmlformats.org/officeDocument/2006/relationships/hyperlink" Target="https://doi.org/10.1016/j.euroecorev.2015.11.006" TargetMode="External"/><Relationship Id="rId3" Type="http://schemas.openxmlformats.org/officeDocument/2006/relationships/settings" Target="settings.xml"/><Relationship Id="rId21" Type="http://schemas.openxmlformats.org/officeDocument/2006/relationships/hyperlink" Target="https://doi.org/10.1002/(SICI)1097-0266(199708)18:7" TargetMode="External"/><Relationship Id="rId7" Type="http://schemas.openxmlformats.org/officeDocument/2006/relationships/hyperlink" Target="https://doi.org/10.1016/j.techfore.2020.120033" TargetMode="External"/><Relationship Id="rId12" Type="http://schemas.openxmlformats.org/officeDocument/2006/relationships/hyperlink" Target="https://doi.org/10.1016/j.techfore.2013.01.005" TargetMode="External"/><Relationship Id="rId17" Type="http://schemas.openxmlformats.org/officeDocument/2006/relationships/hyperlink" Target="https://doi.org/10.1111/j.1467-6486.2012.01080.x"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02/smj.640" TargetMode="External"/><Relationship Id="rId20" Type="http://schemas.openxmlformats.org/officeDocument/2006/relationships/hyperlink" Target="https://doi.org/10.1525/cmr.2016.58.4.1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lrp.2004.01.0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77/0008125618790246" TargetMode="External"/><Relationship Id="rId23" Type="http://schemas.openxmlformats.org/officeDocument/2006/relationships/hyperlink" Target="https://hbr.org/2013/05/living-in-the-futures" TargetMode="External"/><Relationship Id="rId10" Type="http://schemas.openxmlformats.org/officeDocument/2006/relationships/hyperlink" Target="https://doi.org/10.1108/JTF-12-2014-0020" TargetMode="External"/><Relationship Id="rId19" Type="http://schemas.openxmlformats.org/officeDocument/2006/relationships/hyperlink" Target="https://doi.org/10.1525/cmr.2016.58.4.5" TargetMode="External"/><Relationship Id="rId4" Type="http://schemas.openxmlformats.org/officeDocument/2006/relationships/webSettings" Target="webSettings.xml"/><Relationship Id="rId9" Type="http://schemas.openxmlformats.org/officeDocument/2006/relationships/hyperlink" Target="https://doi.org/10.1108/IJCHM-11-2022-1385" TargetMode="External"/><Relationship Id="rId14" Type="http://schemas.openxmlformats.org/officeDocument/2006/relationships/hyperlink" Target="https://sloanreview.mit.edu/article/scenario-planning-a-tool-for-strategic-thinking/" TargetMode="External"/><Relationship Id="rId22" Type="http://schemas.openxmlformats.org/officeDocument/2006/relationships/hyperlink" Target="https://www.forb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Pages>
  <Words>3094</Words>
  <Characters>17638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2025-12-09T23:07:00Z</dcterms:created>
  <dcterms:modified xsi:type="dcterms:W3CDTF">2025-12-10T09:15:00Z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c5c0dd1c-acb9-4c2f-bc77-ef363897ef6d</vt:lpwstr>
  </property>
</Properties>
</file>