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12D5D" w14:textId="77777777" w:rsidR="00E846C6" w:rsidRDefault="00E846C6" w:rsidP="00C61908">
      <w:pPr>
        <w:spacing w:before="100" w:beforeAutospacing="1" w:after="100" w:afterAutospacing="1" w:line="480" w:lineRule="auto"/>
        <w:jc w:val="center"/>
        <w:outlineLvl w:val="2"/>
        <w:rPr>
          <w:rFonts w:ascii="Times New Roman" w:eastAsia="Times New Roman" w:hAnsi="Times New Roman" w:cs="Times New Roman"/>
          <w:b/>
          <w:bCs/>
          <w:kern w:val="0"/>
          <w14:ligatures w14:val="none"/>
        </w:rPr>
      </w:pPr>
    </w:p>
    <w:p w14:paraId="5A906302" w14:textId="77777777" w:rsidR="00E846C6" w:rsidRDefault="00E846C6" w:rsidP="00C61908">
      <w:pPr>
        <w:spacing w:before="100" w:beforeAutospacing="1" w:after="100" w:afterAutospacing="1" w:line="480" w:lineRule="auto"/>
        <w:jc w:val="center"/>
        <w:outlineLvl w:val="2"/>
        <w:rPr>
          <w:rFonts w:ascii="Times New Roman" w:eastAsia="Times New Roman" w:hAnsi="Times New Roman" w:cs="Times New Roman"/>
          <w:b/>
          <w:bCs/>
          <w:kern w:val="0"/>
          <w14:ligatures w14:val="none"/>
        </w:rPr>
      </w:pPr>
    </w:p>
    <w:p w14:paraId="17D8F8E2" w14:textId="43A636C8" w:rsidR="00C81F9E" w:rsidRDefault="00C81F9E" w:rsidP="00C61908">
      <w:pPr>
        <w:spacing w:before="100" w:beforeAutospacing="1" w:after="100" w:afterAutospacing="1" w:line="480" w:lineRule="auto"/>
        <w:jc w:val="center"/>
        <w:outlineLvl w:val="2"/>
        <w:rPr>
          <w:rFonts w:ascii="Times New Roman" w:eastAsia="Times New Roman" w:hAnsi="Times New Roman" w:cs="Times New Roman"/>
          <w:b/>
          <w:bCs/>
          <w:kern w:val="0"/>
          <w14:ligatures w14:val="none"/>
        </w:rPr>
      </w:pPr>
      <w:r w:rsidRPr="00C61908">
        <w:rPr>
          <w:rFonts w:ascii="Times New Roman" w:eastAsia="Times New Roman" w:hAnsi="Times New Roman" w:cs="Times New Roman"/>
          <w:b/>
          <w:bCs/>
          <w:kern w:val="0"/>
          <w14:ligatures w14:val="none"/>
        </w:rPr>
        <w:t>Embedding Risk Intelligence into Project Planning</w:t>
      </w:r>
    </w:p>
    <w:p w14:paraId="074DA541" w14:textId="77777777" w:rsidR="00E846C6" w:rsidRDefault="00E846C6" w:rsidP="00C61908">
      <w:pPr>
        <w:spacing w:before="100" w:beforeAutospacing="1" w:after="100" w:afterAutospacing="1" w:line="480" w:lineRule="auto"/>
        <w:jc w:val="center"/>
        <w:outlineLvl w:val="2"/>
        <w:rPr>
          <w:rFonts w:ascii="Times New Roman" w:eastAsia="Times New Roman" w:hAnsi="Times New Roman" w:cs="Times New Roman"/>
          <w:b/>
          <w:bCs/>
          <w:kern w:val="0"/>
          <w14:ligatures w14:val="none"/>
        </w:rPr>
      </w:pPr>
    </w:p>
    <w:p w14:paraId="1F9E5989" w14:textId="77777777" w:rsidR="00E846C6" w:rsidRPr="00E846C6" w:rsidRDefault="00E846C6" w:rsidP="00E846C6">
      <w:pPr>
        <w:spacing w:before="100" w:beforeAutospacing="1" w:after="100" w:afterAutospacing="1" w:line="480" w:lineRule="auto"/>
        <w:jc w:val="center"/>
        <w:outlineLvl w:val="2"/>
        <w:rPr>
          <w:rFonts w:ascii="Times New Roman" w:eastAsia="Times New Roman" w:hAnsi="Times New Roman" w:cs="Times New Roman"/>
          <w:kern w:val="0"/>
          <w14:ligatures w14:val="none"/>
        </w:rPr>
      </w:pPr>
    </w:p>
    <w:p w14:paraId="29FBC537" w14:textId="77777777" w:rsidR="00E846C6" w:rsidRPr="00E846C6" w:rsidRDefault="00E846C6" w:rsidP="00E846C6">
      <w:pPr>
        <w:spacing w:line="480" w:lineRule="auto"/>
        <w:jc w:val="center"/>
        <w:rPr>
          <w:rFonts w:ascii="Times New Roman" w:hAnsi="Times New Roman" w:cs="Times New Roman"/>
        </w:rPr>
      </w:pPr>
      <w:r w:rsidRPr="00E846C6">
        <w:rPr>
          <w:rFonts w:ascii="Times New Roman" w:hAnsi="Times New Roman" w:cs="Times New Roman"/>
        </w:rPr>
        <w:t>Student Name:</w:t>
      </w:r>
    </w:p>
    <w:p w14:paraId="3AC9A5E6" w14:textId="77777777" w:rsidR="00E846C6" w:rsidRPr="00E846C6" w:rsidRDefault="00E846C6" w:rsidP="00E846C6">
      <w:pPr>
        <w:spacing w:line="480" w:lineRule="auto"/>
        <w:jc w:val="center"/>
        <w:rPr>
          <w:rFonts w:ascii="Times New Roman" w:hAnsi="Times New Roman" w:cs="Times New Roman"/>
        </w:rPr>
      </w:pPr>
      <w:r w:rsidRPr="00E846C6">
        <w:rPr>
          <w:rFonts w:ascii="Times New Roman" w:hAnsi="Times New Roman" w:cs="Times New Roman"/>
        </w:rPr>
        <w:t>Student ID:</w:t>
      </w:r>
    </w:p>
    <w:p w14:paraId="64EE3701" w14:textId="77777777" w:rsidR="00E846C6" w:rsidRPr="00E846C6" w:rsidRDefault="00E846C6" w:rsidP="00E846C6">
      <w:pPr>
        <w:spacing w:line="480" w:lineRule="auto"/>
        <w:jc w:val="center"/>
        <w:rPr>
          <w:rFonts w:ascii="Times New Roman" w:hAnsi="Times New Roman" w:cs="Times New Roman"/>
        </w:rPr>
      </w:pPr>
      <w:r w:rsidRPr="00E846C6">
        <w:rPr>
          <w:rFonts w:ascii="Times New Roman" w:hAnsi="Times New Roman" w:cs="Times New Roman"/>
        </w:rPr>
        <w:t>Institution Affiliation:</w:t>
      </w:r>
    </w:p>
    <w:p w14:paraId="21C10206" w14:textId="77777777" w:rsidR="00E846C6" w:rsidRPr="00E846C6" w:rsidRDefault="00E846C6" w:rsidP="00E846C6">
      <w:pPr>
        <w:spacing w:line="480" w:lineRule="auto"/>
        <w:jc w:val="center"/>
        <w:rPr>
          <w:rFonts w:ascii="Times New Roman" w:hAnsi="Times New Roman" w:cs="Times New Roman"/>
        </w:rPr>
      </w:pPr>
      <w:r w:rsidRPr="00E846C6">
        <w:rPr>
          <w:rFonts w:ascii="Times New Roman" w:hAnsi="Times New Roman" w:cs="Times New Roman"/>
        </w:rPr>
        <w:t>Instructor’s Name:</w:t>
      </w:r>
    </w:p>
    <w:p w14:paraId="084F62EA" w14:textId="04775FCC" w:rsidR="00E846C6" w:rsidRPr="00E846C6" w:rsidRDefault="00E846C6" w:rsidP="00E846C6">
      <w:pPr>
        <w:spacing w:before="100" w:beforeAutospacing="1" w:after="100" w:afterAutospacing="1" w:line="480" w:lineRule="auto"/>
        <w:jc w:val="center"/>
        <w:outlineLvl w:val="2"/>
        <w:rPr>
          <w:rFonts w:ascii="Times New Roman" w:hAnsi="Times New Roman" w:cs="Times New Roman"/>
          <w:kern w:val="0"/>
          <w14:ligatures w14:val="none"/>
        </w:rPr>
      </w:pPr>
      <w:r w:rsidRPr="00E846C6">
        <w:rPr>
          <w:rFonts w:ascii="Times New Roman" w:hAnsi="Times New Roman" w:cs="Times New Roman"/>
          <w:kern w:val="0"/>
          <w14:ligatures w14:val="none"/>
        </w:rPr>
        <w:t>Date:</w:t>
      </w:r>
    </w:p>
    <w:p w14:paraId="53FF0D78" w14:textId="77777777" w:rsidR="00E846C6" w:rsidRDefault="00E846C6" w:rsidP="00E846C6">
      <w:pPr>
        <w:spacing w:before="100" w:beforeAutospacing="1" w:after="100" w:afterAutospacing="1" w:line="480" w:lineRule="auto"/>
        <w:jc w:val="center"/>
        <w:outlineLvl w:val="2"/>
        <w:rPr>
          <w:rFonts w:ascii="Times New Roman" w:hAnsi="Times New Roman" w:cs="Times New Roman"/>
          <w:b/>
          <w:bCs/>
          <w:kern w:val="0"/>
          <w14:ligatures w14:val="none"/>
        </w:rPr>
      </w:pPr>
    </w:p>
    <w:p w14:paraId="7B25315D" w14:textId="77777777" w:rsidR="00E846C6" w:rsidRDefault="00E846C6" w:rsidP="00E846C6">
      <w:pPr>
        <w:spacing w:before="100" w:beforeAutospacing="1" w:after="100" w:afterAutospacing="1" w:line="480" w:lineRule="auto"/>
        <w:jc w:val="center"/>
        <w:outlineLvl w:val="2"/>
        <w:rPr>
          <w:rFonts w:ascii="Times New Roman" w:hAnsi="Times New Roman" w:cs="Times New Roman"/>
          <w:b/>
          <w:bCs/>
          <w:kern w:val="0"/>
          <w14:ligatures w14:val="none"/>
        </w:rPr>
      </w:pPr>
    </w:p>
    <w:p w14:paraId="287CC028" w14:textId="77777777" w:rsidR="00E846C6" w:rsidRDefault="00E846C6" w:rsidP="00E846C6">
      <w:pPr>
        <w:spacing w:before="100" w:beforeAutospacing="1" w:after="100" w:afterAutospacing="1" w:line="480" w:lineRule="auto"/>
        <w:jc w:val="center"/>
        <w:outlineLvl w:val="2"/>
        <w:rPr>
          <w:rFonts w:ascii="Times New Roman" w:hAnsi="Times New Roman" w:cs="Times New Roman"/>
          <w:b/>
          <w:bCs/>
          <w:kern w:val="0"/>
          <w14:ligatures w14:val="none"/>
        </w:rPr>
      </w:pPr>
    </w:p>
    <w:p w14:paraId="605D2A31" w14:textId="77777777" w:rsidR="00E846C6" w:rsidRDefault="00E846C6" w:rsidP="00E846C6">
      <w:pPr>
        <w:spacing w:before="100" w:beforeAutospacing="1" w:after="100" w:afterAutospacing="1" w:line="480" w:lineRule="auto"/>
        <w:jc w:val="center"/>
        <w:outlineLvl w:val="2"/>
        <w:rPr>
          <w:rFonts w:ascii="Times New Roman" w:hAnsi="Times New Roman" w:cs="Times New Roman"/>
          <w:b/>
          <w:bCs/>
          <w:kern w:val="0"/>
          <w14:ligatures w14:val="none"/>
        </w:rPr>
      </w:pPr>
    </w:p>
    <w:p w14:paraId="39BDB72C" w14:textId="77777777" w:rsidR="00E846C6" w:rsidRDefault="00E846C6" w:rsidP="00E846C6">
      <w:pPr>
        <w:spacing w:before="100" w:beforeAutospacing="1" w:after="100" w:afterAutospacing="1" w:line="480" w:lineRule="auto"/>
        <w:jc w:val="center"/>
        <w:outlineLvl w:val="2"/>
        <w:rPr>
          <w:rFonts w:ascii="Times New Roman" w:hAnsi="Times New Roman" w:cs="Times New Roman"/>
          <w:b/>
          <w:bCs/>
          <w:kern w:val="0"/>
          <w14:ligatures w14:val="none"/>
        </w:rPr>
      </w:pPr>
    </w:p>
    <w:p w14:paraId="4752A33B" w14:textId="77777777" w:rsidR="00E846C6" w:rsidRDefault="00E846C6" w:rsidP="00E846C6">
      <w:pPr>
        <w:spacing w:before="100" w:beforeAutospacing="1" w:after="100" w:afterAutospacing="1" w:line="480" w:lineRule="auto"/>
        <w:outlineLvl w:val="2"/>
        <w:rPr>
          <w:rFonts w:ascii="Times New Roman" w:eastAsia="Times New Roman" w:hAnsi="Times New Roman" w:cs="Times New Roman"/>
          <w:b/>
          <w:bCs/>
          <w:kern w:val="0"/>
          <w14:ligatures w14:val="none"/>
        </w:rPr>
      </w:pPr>
    </w:p>
    <w:p w14:paraId="71B3734A" w14:textId="15711EE2" w:rsidR="00E846C6" w:rsidRPr="00C61908" w:rsidRDefault="00E846C6" w:rsidP="00E846C6">
      <w:pPr>
        <w:spacing w:before="100" w:beforeAutospacing="1" w:after="100" w:afterAutospacing="1" w:line="480" w:lineRule="auto"/>
        <w:jc w:val="center"/>
        <w:outlineLvl w:val="2"/>
        <w:rPr>
          <w:rFonts w:ascii="Times New Roman" w:eastAsia="Times New Roman" w:hAnsi="Times New Roman" w:cs="Times New Roman"/>
          <w:b/>
          <w:bCs/>
          <w:kern w:val="0"/>
          <w14:ligatures w14:val="none"/>
        </w:rPr>
      </w:pPr>
      <w:r w:rsidRPr="00C61908">
        <w:rPr>
          <w:rFonts w:ascii="Times New Roman" w:eastAsia="Times New Roman" w:hAnsi="Times New Roman" w:cs="Times New Roman"/>
          <w:b/>
          <w:bCs/>
          <w:kern w:val="0"/>
          <w14:ligatures w14:val="none"/>
        </w:rPr>
        <w:lastRenderedPageBreak/>
        <w:t>Embedding Risk Intelligence into Project Planning</w:t>
      </w:r>
    </w:p>
    <w:p w14:paraId="26E31604" w14:textId="68C396A8" w:rsidR="008E5BE1" w:rsidRPr="00C61908" w:rsidRDefault="008E5BE1" w:rsidP="00C61908">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C61908">
        <w:rPr>
          <w:rFonts w:ascii="Times New Roman" w:eastAsia="Times New Roman" w:hAnsi="Times New Roman" w:cs="Times New Roman"/>
          <w:b/>
          <w:bCs/>
          <w:kern w:val="0"/>
          <w14:ligatures w14:val="none"/>
        </w:rPr>
        <w:t>Introduction</w:t>
      </w:r>
    </w:p>
    <w:p w14:paraId="06E7C3D0" w14:textId="32778E2A" w:rsidR="008E5BE1" w:rsidRPr="00C61908" w:rsidRDefault="008E5BE1" w:rsidP="00C61908">
      <w:pPr>
        <w:spacing w:before="100" w:beforeAutospacing="1" w:after="100" w:afterAutospacing="1" w:line="480" w:lineRule="auto"/>
        <w:ind w:firstLine="720"/>
        <w:outlineLvl w:val="1"/>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 xml:space="preserve">Projects are always undertaken with uncertainty in scope requirements, schedules, costs, resources, from stakeholder expectations to external factors. Where there is inadequate planning, unforeseen issues can turn into major project risks, impacting project objectives, stakeholder satisfaction, and the delivery of value to the organization. Thus, project planning becomes a good risk management tool, as well as an administrative preparation activity. According to the Project Management Institute (PMI, 2021), it is crucial to consider uncertainty during the project planning and delivery process, and Kendrick (2015) states that effective project managers will anticipate potential problems and avoid them becoming failures. </w:t>
      </w:r>
    </w:p>
    <w:p w14:paraId="7E66CD90" w14:textId="2F95A0A6" w:rsidR="008E5BE1" w:rsidRPr="00C61908" w:rsidRDefault="008E5BE1" w:rsidP="00C61908">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C61908">
        <w:rPr>
          <w:rFonts w:ascii="Times New Roman" w:eastAsia="Times New Roman" w:hAnsi="Times New Roman" w:cs="Times New Roman"/>
          <w:b/>
          <w:bCs/>
          <w:kern w:val="0"/>
          <w14:ligatures w14:val="none"/>
        </w:rPr>
        <w:t xml:space="preserve">Theoretical Framework Analysis: Planning as Preventative Risk Management </w:t>
      </w:r>
    </w:p>
    <w:p w14:paraId="30704A6D" w14:textId="1A40CD69" w:rsidR="008E5BE1" w:rsidRPr="00C61908" w:rsidRDefault="008E5BE1" w:rsidP="00C61908">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C61908">
        <w:rPr>
          <w:rFonts w:ascii="Times New Roman" w:eastAsia="Times New Roman" w:hAnsi="Times New Roman" w:cs="Times New Roman"/>
          <w:b/>
          <w:bCs/>
          <w:kern w:val="0"/>
          <w14:ligatures w14:val="none"/>
        </w:rPr>
        <w:t xml:space="preserve">Work Breakdown Structure (WBS): Reducing Scope and Complexity Risk </w:t>
      </w:r>
    </w:p>
    <w:p w14:paraId="6A70160B" w14:textId="4314E519" w:rsidR="008E5BE1" w:rsidRPr="00C61908" w:rsidRDefault="008E5BE1" w:rsidP="00C61908">
      <w:pPr>
        <w:spacing w:before="100" w:beforeAutospacing="1" w:after="100" w:afterAutospacing="1" w:line="480" w:lineRule="auto"/>
        <w:ind w:firstLine="720"/>
        <w:outlineLvl w:val="1"/>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 xml:space="preserve">The Work Breakdown Structure (WBS) minimizes risks and uncertainties in projects by breaking down the overall project into deliverables and work packages. This approach to planning aids in proactive risk management by helping to uncover activities, enhance accuracy of estimates, and define accountability prior to execution (PMI, 2021). If there is no detailed WBS, vital activities like data migration, testing or user training can be missed and place scope, schedule and resource risks. When these activities are made concrete in the form of a deliverable and given ownership, project managers can detect threats earlier and dedicate the necessary resources. The focus of the WBS is mainly on project, technical and schedule risks. The right </w:t>
      </w:r>
      <w:r w:rsidRPr="00C61908">
        <w:rPr>
          <w:rFonts w:ascii="Times New Roman" w:eastAsia="Times New Roman" w:hAnsi="Times New Roman" w:cs="Times New Roman"/>
          <w:kern w:val="0"/>
          <w14:ligatures w14:val="none"/>
        </w:rPr>
        <w:lastRenderedPageBreak/>
        <w:t>strategy is mitigation based on early identification, enhanced planning precision and proper allocation of resources.</w:t>
      </w:r>
    </w:p>
    <w:p w14:paraId="56F3F996" w14:textId="13A5D384" w:rsidR="008E5BE1" w:rsidRPr="00C61908" w:rsidRDefault="008E5BE1" w:rsidP="00C61908">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C61908">
        <w:rPr>
          <w:rFonts w:ascii="Times New Roman" w:eastAsia="Times New Roman" w:hAnsi="Times New Roman" w:cs="Times New Roman"/>
          <w:b/>
          <w:bCs/>
          <w:kern w:val="0"/>
          <w14:ligatures w14:val="none"/>
        </w:rPr>
        <w:t xml:space="preserve">Stakeholder Analysis: Reducing Organizational Risk </w:t>
      </w:r>
    </w:p>
    <w:p w14:paraId="653A0077" w14:textId="2514DB3F" w:rsidR="008E5BE1" w:rsidRPr="00C61908" w:rsidRDefault="008E5BE1" w:rsidP="00C61908">
      <w:pPr>
        <w:spacing w:before="100" w:beforeAutospacing="1" w:after="100" w:afterAutospacing="1" w:line="480" w:lineRule="auto"/>
        <w:ind w:firstLine="720"/>
        <w:outlineLvl w:val="1"/>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Stakeholder analysis is a proactive risk management method that elucidates stakeholders influence, expectation, communication needs and resistance. Some of the risks associated with poor stakeholder engagement are organizational in nature, including slow stakeholder approvals, expectations and user resistance. A department might decide to not adopt a new system when employees were not included in discussion of the system's requirements. A stakeholder register, engagement assessment, and communication plan eliminate this uncertainty because they help identify stakeholders' concerns ahead of implementation. The right approach is to implement mitigation measures by early engagement, targeted communication and training with stakeholders for acceptance and alignment.</w:t>
      </w:r>
    </w:p>
    <w:p w14:paraId="52EC525A" w14:textId="0F5C452E" w:rsidR="008E5BE1" w:rsidRPr="00C61908" w:rsidRDefault="008E5BE1" w:rsidP="00C61908">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C61908">
        <w:rPr>
          <w:rFonts w:ascii="Times New Roman" w:eastAsia="Times New Roman" w:hAnsi="Times New Roman" w:cs="Times New Roman"/>
          <w:b/>
          <w:bCs/>
          <w:kern w:val="0"/>
          <w14:ligatures w14:val="none"/>
        </w:rPr>
        <w:t>Risk Register and Risk Breakdown Structure: Converting Uncertainty into Action</w:t>
      </w:r>
    </w:p>
    <w:p w14:paraId="20B4E09D" w14:textId="61D6A729" w:rsidR="008E5BE1" w:rsidRPr="00C61908" w:rsidRDefault="008E5BE1" w:rsidP="00C61908">
      <w:pPr>
        <w:spacing w:before="100" w:beforeAutospacing="1" w:after="100" w:afterAutospacing="1" w:line="480" w:lineRule="auto"/>
        <w:ind w:firstLine="720"/>
        <w:outlineLvl w:val="1"/>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 xml:space="preserve">Risk registers and Risk Breakdown Structures (RBS) are a systematic way of documenting risk identification, categorization and management across the project lifecycle. These tools record descriptions of risk, probability, impact, ownership, and planned responses and turn a threat into a risk management decision to take action (Kendrick, 2015). A structured risk process will allow project teams to choose the most suitable responses instead of relying on a more generic solution. Risks can be avoided by altering the project approach to stop exposure to the risk, minimized by action taken to lower the probability or impact, transferred through contractual processes or insurance mechanisms, or accepted when the probability or impact is </w:t>
      </w:r>
      <w:r w:rsidRPr="00C61908">
        <w:rPr>
          <w:rFonts w:ascii="Times New Roman" w:eastAsia="Times New Roman" w:hAnsi="Times New Roman" w:cs="Times New Roman"/>
          <w:kern w:val="0"/>
          <w14:ligatures w14:val="none"/>
        </w:rPr>
        <w:lastRenderedPageBreak/>
        <w:t xml:space="preserve">within an acceptable level. These methods focus on technical, external, </w:t>
      </w:r>
      <w:r w:rsidRPr="00C61908">
        <w:rPr>
          <w:rFonts w:ascii="Times New Roman" w:eastAsia="Times New Roman" w:hAnsi="Times New Roman" w:cs="Times New Roman"/>
          <w:kern w:val="0"/>
          <w14:ligatures w14:val="none"/>
        </w:rPr>
        <w:t>organizational</w:t>
      </w:r>
      <w:r w:rsidRPr="00C61908">
        <w:rPr>
          <w:rFonts w:ascii="Times New Roman" w:eastAsia="Times New Roman" w:hAnsi="Times New Roman" w:cs="Times New Roman"/>
          <w:kern w:val="0"/>
          <w14:ligatures w14:val="none"/>
        </w:rPr>
        <w:t xml:space="preserve"> and project management risks to increase visibility, accountability and preparedness ahead of risks impacting project objectives.</w:t>
      </w:r>
    </w:p>
    <w:p w14:paraId="5619A872" w14:textId="77777777" w:rsidR="008E5BE1" w:rsidRPr="00C61908" w:rsidRDefault="008E5BE1" w:rsidP="00C61908">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C61908">
        <w:rPr>
          <w:rFonts w:ascii="Times New Roman" w:eastAsia="Times New Roman" w:hAnsi="Times New Roman" w:cs="Times New Roman"/>
          <w:b/>
          <w:bCs/>
          <w:kern w:val="0"/>
          <w14:ligatures w14:val="none"/>
        </w:rPr>
        <w:t>Schedule and Resource Planning: Preventing Execution Risks</w:t>
      </w:r>
    </w:p>
    <w:p w14:paraId="68CEDDDF" w14:textId="213A1FC2" w:rsidR="008E5BE1" w:rsidRPr="00C61908" w:rsidRDefault="008E5BE1" w:rsidP="00C61908">
      <w:pPr>
        <w:spacing w:before="100" w:beforeAutospacing="1" w:after="100" w:afterAutospacing="1" w:line="480" w:lineRule="auto"/>
        <w:ind w:firstLine="720"/>
        <w:outlineLvl w:val="1"/>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Schedule and resource planning minimizes uncertainty during execution by defining the dependencies, resource constraints, capacity and more before the project begins. Dependency mapping can help project managers identify activities which may delay the project, and resource planning can help them identify potential skills, availability, or funding shortages. Contingency reserves add to the security of the purse by opening the door for controlled actions in the event that the unforeseen happens (PMI, 2021). These planning activities help to trim project delays, resource clashes and risk of cost escalation. Schedule planning does not remove all uncertainty but can increase preparedness through planning realistic schedules and resource strategies. The main strategy of response is mitigation through accurate forecasting, a balance of resources, and proactive contingency planning.</w:t>
      </w:r>
    </w:p>
    <w:p w14:paraId="42DED0E1" w14:textId="4D71C908" w:rsidR="008E5BE1" w:rsidRPr="00C61908" w:rsidRDefault="008E5BE1" w:rsidP="00C61908">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C61908">
        <w:rPr>
          <w:rFonts w:ascii="Times New Roman" w:eastAsia="Times New Roman" w:hAnsi="Times New Roman" w:cs="Times New Roman"/>
          <w:b/>
          <w:bCs/>
          <w:kern w:val="0"/>
          <w14:ligatures w14:val="none"/>
        </w:rPr>
        <w:t xml:space="preserve">Case Analysis: Planning Failures and Resulting Risk Events </w:t>
      </w:r>
    </w:p>
    <w:p w14:paraId="74BDF6A1" w14:textId="77777777" w:rsidR="00CB5931" w:rsidRPr="00C61908" w:rsidRDefault="008E5BE1" w:rsidP="00C61908">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C61908">
        <w:rPr>
          <w:rFonts w:ascii="Times New Roman" w:eastAsia="Times New Roman" w:hAnsi="Times New Roman" w:cs="Times New Roman"/>
          <w:b/>
          <w:bCs/>
          <w:kern w:val="0"/>
          <w14:ligatures w14:val="none"/>
        </w:rPr>
        <w:t>Case Background: Enterprise Software Implementation Project</w:t>
      </w:r>
    </w:p>
    <w:p w14:paraId="2AF5DECF" w14:textId="36AB8656" w:rsidR="008E5BE1" w:rsidRPr="00C61908" w:rsidRDefault="008E5BE1" w:rsidP="00C61908">
      <w:pPr>
        <w:spacing w:before="100" w:beforeAutospacing="1" w:after="100" w:afterAutospacing="1" w:line="480" w:lineRule="auto"/>
        <w:ind w:firstLine="720"/>
        <w:outlineLvl w:val="1"/>
        <w:rPr>
          <w:rFonts w:ascii="Times New Roman" w:eastAsia="Times New Roman" w:hAnsi="Times New Roman" w:cs="Times New Roman"/>
          <w:b/>
          <w:bCs/>
          <w:kern w:val="0"/>
          <w14:ligatures w14:val="none"/>
        </w:rPr>
      </w:pPr>
      <w:r w:rsidRPr="00C61908">
        <w:rPr>
          <w:rFonts w:ascii="Times New Roman" w:eastAsia="Times New Roman" w:hAnsi="Times New Roman" w:cs="Times New Roman"/>
          <w:kern w:val="0"/>
          <w14:ligatures w14:val="none"/>
        </w:rPr>
        <w:t xml:space="preserve">The chosen scenario is an anonymized Enterprise Resource Planning (ERP) implementation project in a medium sized organization aiming at enhancing operational efficiency through system integration and process automation. The client's challenge was to eliminate multiple legacy systems and replace them in a single digital platform that would connect multiple business functions. The project was ultimately deployed but poor planning in </w:t>
      </w:r>
      <w:r w:rsidRPr="00C61908">
        <w:rPr>
          <w:rFonts w:ascii="Times New Roman" w:eastAsia="Times New Roman" w:hAnsi="Times New Roman" w:cs="Times New Roman"/>
          <w:kern w:val="0"/>
          <w14:ligatures w14:val="none"/>
        </w:rPr>
        <w:lastRenderedPageBreak/>
        <w:t>the early stages introduced unnecessary risks which impacted both schedule performance, implementation costs and stakeholder buy-in. The case illustrates a situation where foreseeable uncertainties can become project risks due to lack of planning. Kendrick (2015) asserted that project risk management must consider the possibility of failure prior to execution, and PMI (2021) emphasized that the management of uncertainty must be included in all activities of the project planning process rather than being part of corrective action when failure happens.</w:t>
      </w:r>
    </w:p>
    <w:p w14:paraId="5EADA671" w14:textId="6D4D50DB" w:rsidR="008E5BE1" w:rsidRPr="00C61908" w:rsidRDefault="008E5BE1" w:rsidP="00C61908">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C61908">
        <w:rPr>
          <w:rFonts w:ascii="Times New Roman" w:eastAsia="Times New Roman" w:hAnsi="Times New Roman" w:cs="Times New Roman"/>
          <w:b/>
          <w:bCs/>
          <w:kern w:val="0"/>
          <w14:ligatures w14:val="none"/>
        </w:rPr>
        <w:t>Risk Event One: Scope Expansion During Execution</w:t>
      </w:r>
    </w:p>
    <w:p w14:paraId="47089E4F" w14:textId="2C2BC220" w:rsidR="008E5BE1" w:rsidRPr="00C61908" w:rsidRDefault="008E5BE1" w:rsidP="00C61908">
      <w:pPr>
        <w:spacing w:before="100" w:beforeAutospacing="1" w:after="100" w:afterAutospacing="1" w:line="480" w:lineRule="auto"/>
        <w:ind w:firstLine="720"/>
        <w:outlineLvl w:val="1"/>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The first major risk event was that the scope of the system has significantly expanded once development had started. During project planning, additional functionality was requested by users from various departments, as their needs were not fully understood during the initial stages. The key challenges in planning were the lack of requirements gathering, lack of good stakeholder analysis, and unclear stakeholder expectations about system capabilities. The impact encompassed rework, schedule delays, extra development costs and strain of project resources. Strengthening the requirements management plan, stakeholder engagement strategy, and detailed Work Breakdown Structure (WBS) may have helped to mitigate this risk by defining necessary deliverables prior to execution. Such developments would have eliminated scope uncertainty and would not have allowed scope changes to impact project objectives (Kendrick 2015; PMI 2021).</w:t>
      </w:r>
    </w:p>
    <w:p w14:paraId="1F2B1A42" w14:textId="4A23C391" w:rsidR="008E5BE1" w:rsidRPr="00C61908" w:rsidRDefault="008E5BE1" w:rsidP="00C61908">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C61908">
        <w:rPr>
          <w:rFonts w:ascii="Times New Roman" w:eastAsia="Times New Roman" w:hAnsi="Times New Roman" w:cs="Times New Roman"/>
          <w:b/>
          <w:bCs/>
          <w:kern w:val="0"/>
          <w14:ligatures w14:val="none"/>
        </w:rPr>
        <w:t>Risk Event Two: Technical Integration Failure</w:t>
      </w:r>
    </w:p>
    <w:p w14:paraId="72CAEEB3" w14:textId="25C30EFB" w:rsidR="008E5BE1" w:rsidRPr="00C61908" w:rsidRDefault="008E5BE1" w:rsidP="00C61908">
      <w:pPr>
        <w:spacing w:before="100" w:beforeAutospacing="1" w:after="100" w:afterAutospacing="1" w:line="480" w:lineRule="auto"/>
        <w:ind w:firstLine="720"/>
        <w:outlineLvl w:val="1"/>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 xml:space="preserve">The second risk was unanticipated technical integration issues between the new ERP system and the existing organizational systems. The project team did not conduct a complete technical risk assessment in the planning phase, resulting in an underestimation of data </w:t>
      </w:r>
      <w:r w:rsidRPr="00C61908">
        <w:rPr>
          <w:rFonts w:ascii="Times New Roman" w:eastAsia="Times New Roman" w:hAnsi="Times New Roman" w:cs="Times New Roman"/>
          <w:kern w:val="0"/>
          <w14:ligatures w14:val="none"/>
        </w:rPr>
        <w:lastRenderedPageBreak/>
        <w:t xml:space="preserve">migration, system compatibility and technical requirements. As a result, test activities were postponed, extra development workload was needed, and specialized technical resources were allocated later than expected. Mitigation became the proper response strategy given that the technical uncertainty could not be eliminated but could be managed by carrying out the activities of early validation. Planning with the establishment of technical reviews and allocation of specialist resources would have increased readiness and </w:t>
      </w:r>
      <w:r w:rsidRPr="00C61908">
        <w:rPr>
          <w:rFonts w:ascii="Times New Roman" w:eastAsia="Times New Roman" w:hAnsi="Times New Roman" w:cs="Times New Roman"/>
          <w:kern w:val="0"/>
          <w14:ligatures w14:val="none"/>
        </w:rPr>
        <w:t>minimized</w:t>
      </w:r>
      <w:r w:rsidRPr="00C61908">
        <w:rPr>
          <w:rFonts w:ascii="Times New Roman" w:eastAsia="Times New Roman" w:hAnsi="Times New Roman" w:cs="Times New Roman"/>
          <w:kern w:val="0"/>
          <w14:ligatures w14:val="none"/>
        </w:rPr>
        <w:t xml:space="preserve"> implementation disruption (PMI, 2021).</w:t>
      </w:r>
    </w:p>
    <w:p w14:paraId="471B140B" w14:textId="5ACF2B63" w:rsidR="006C4FE0" w:rsidRPr="00C61908" w:rsidRDefault="00CB1AFD" w:rsidP="00C61908">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C61908">
        <w:rPr>
          <w:rFonts w:ascii="Times New Roman" w:eastAsia="Times New Roman" w:hAnsi="Times New Roman" w:cs="Times New Roman"/>
          <w:b/>
          <w:bCs/>
          <w:kern w:val="0"/>
          <w14:ligatures w14:val="none"/>
        </w:rPr>
        <w:t>Risk Event Three: User Adoption Problems</w:t>
      </w:r>
    </w:p>
    <w:p w14:paraId="5285CF1B" w14:textId="3EA93DEF" w:rsidR="006C4FE0" w:rsidRPr="00C61908" w:rsidRDefault="006C4FE0" w:rsidP="00C61908">
      <w:pPr>
        <w:spacing w:line="480" w:lineRule="auto"/>
        <w:ind w:firstLine="720"/>
        <w:rPr>
          <w:rFonts w:ascii="Times New Roman" w:hAnsi="Times New Roman" w:cs="Times New Roman"/>
        </w:rPr>
      </w:pPr>
      <w:r w:rsidRPr="00C61908">
        <w:rPr>
          <w:rFonts w:ascii="Times New Roman" w:hAnsi="Times New Roman" w:cs="Times New Roman"/>
        </w:rPr>
        <w:t>The third risk event was related to employee resistance and limited adoption after implementation of the system. The technical solution was provided, but several users had difficulty changing their working ways due to poor integration of the change management activities within the project plan. The lack of planning lay in the lack of user concern regarding stakeholder and communication, before implementation. The impact was a decreased benefit to the project, disruption to operations and an increased need for support. A communication plan and stakeholder engagement plan would have been able to anticipate the challenges of adoption and ready end users for the change. All three of the following were used to manage the risk - structured user training, identifying change champions, and ongoing communication throughout the lifecycle of implementation. This practice builds on PMI's focus on stakeholder engagement as one of the key elements of achieving a project's outcomes (PMI, 2021).</w:t>
      </w:r>
    </w:p>
    <w:p w14:paraId="7931DE13" w14:textId="4E69748E" w:rsidR="006C4FE0" w:rsidRPr="00C61908" w:rsidRDefault="006C4FE0" w:rsidP="00C61908">
      <w:pPr>
        <w:spacing w:line="480" w:lineRule="auto"/>
        <w:rPr>
          <w:rFonts w:ascii="Times New Roman" w:hAnsi="Times New Roman" w:cs="Times New Roman"/>
          <w:b/>
          <w:bCs/>
        </w:rPr>
      </w:pPr>
      <w:r w:rsidRPr="00C61908">
        <w:rPr>
          <w:rFonts w:ascii="Times New Roman" w:hAnsi="Times New Roman" w:cs="Times New Roman"/>
          <w:b/>
          <w:bCs/>
        </w:rPr>
        <w:t>Application Blueprint: Risk-Integrated Planning Framework</w:t>
      </w:r>
    </w:p>
    <w:p w14:paraId="65B6F950" w14:textId="7DB9C533" w:rsidR="006C4FE0" w:rsidRPr="00C61908" w:rsidRDefault="006C4FE0" w:rsidP="00C61908">
      <w:pPr>
        <w:spacing w:line="480" w:lineRule="auto"/>
        <w:rPr>
          <w:rFonts w:ascii="Times New Roman" w:hAnsi="Times New Roman" w:cs="Times New Roman"/>
          <w:b/>
          <w:bCs/>
        </w:rPr>
      </w:pPr>
      <w:r w:rsidRPr="00C61908">
        <w:rPr>
          <w:rFonts w:ascii="Times New Roman" w:hAnsi="Times New Roman" w:cs="Times New Roman"/>
          <w:b/>
          <w:bCs/>
        </w:rPr>
        <w:t>Project Initiation Planning</w:t>
      </w:r>
    </w:p>
    <w:p w14:paraId="5D5AC45F" w14:textId="2580848A" w:rsidR="006C4FE0" w:rsidRPr="00C61908" w:rsidRDefault="006C4FE0" w:rsidP="00C61908">
      <w:pPr>
        <w:spacing w:line="480" w:lineRule="auto"/>
        <w:ind w:firstLine="720"/>
        <w:rPr>
          <w:rFonts w:ascii="Times New Roman" w:hAnsi="Times New Roman" w:cs="Times New Roman"/>
        </w:rPr>
      </w:pPr>
      <w:r w:rsidRPr="00C61908">
        <w:rPr>
          <w:rFonts w:ascii="Times New Roman" w:hAnsi="Times New Roman" w:cs="Times New Roman"/>
        </w:rPr>
        <w:lastRenderedPageBreak/>
        <w:t>The project initiation sets the basis for proactive risk management by establishing project goals, assumptions, constraints, and important stakeholders. At this stage, project managers should inspect strategic, organizational and external risks which can affect project achievement. Identification of assumptions can help teams recognize assumptions that may change, and stakeholder identification can help teams be aware of people who can influence the project outcome. Early risk consideration is to plan the appropriate response prior to committing resources (PMI, 2021).</w:t>
      </w:r>
    </w:p>
    <w:p w14:paraId="070FEF22" w14:textId="4B054DA5" w:rsidR="006C4FE0" w:rsidRPr="00C61908" w:rsidRDefault="006C4FE0" w:rsidP="00C61908">
      <w:pPr>
        <w:spacing w:line="480" w:lineRule="auto"/>
        <w:rPr>
          <w:rFonts w:ascii="Times New Roman" w:hAnsi="Times New Roman" w:cs="Times New Roman"/>
          <w:b/>
          <w:bCs/>
        </w:rPr>
      </w:pPr>
      <w:r w:rsidRPr="00C61908">
        <w:rPr>
          <w:rFonts w:ascii="Times New Roman" w:hAnsi="Times New Roman" w:cs="Times New Roman"/>
          <w:b/>
          <w:bCs/>
        </w:rPr>
        <w:t xml:space="preserve">Scope Planning </w:t>
      </w:r>
    </w:p>
    <w:p w14:paraId="36EE6357" w14:textId="53A3B937" w:rsidR="006C4FE0" w:rsidRPr="00C61908" w:rsidRDefault="006C4FE0" w:rsidP="00C61908">
      <w:pPr>
        <w:spacing w:line="480" w:lineRule="auto"/>
        <w:ind w:firstLine="720"/>
        <w:rPr>
          <w:rFonts w:ascii="Times New Roman" w:hAnsi="Times New Roman" w:cs="Times New Roman"/>
        </w:rPr>
      </w:pPr>
      <w:r w:rsidRPr="00C61908">
        <w:rPr>
          <w:rFonts w:ascii="Times New Roman" w:hAnsi="Times New Roman" w:cs="Times New Roman"/>
        </w:rPr>
        <w:t xml:space="preserve">Scope planning </w:t>
      </w:r>
      <w:r w:rsidR="00CB5931" w:rsidRPr="00C61908">
        <w:rPr>
          <w:rFonts w:ascii="Times New Roman" w:hAnsi="Times New Roman" w:cs="Times New Roman"/>
        </w:rPr>
        <w:t>minimizes</w:t>
      </w:r>
      <w:r w:rsidRPr="00C61908">
        <w:rPr>
          <w:rFonts w:ascii="Times New Roman" w:hAnsi="Times New Roman" w:cs="Times New Roman"/>
        </w:rPr>
        <w:t xml:space="preserve"> uncertainty by establishing project requirements, creating the WBS and engaging stakeholders in the validation of deliverables. These activities help mitigate the risks of scope creep, missing requirements, and unclear dependencies. The WBS provides a detailed view of activities, ensuring that they are identified, assigned, and estimated before they are executed. Requirements validation will also minimize the risk of stakeholders being disappointed because deliverables meet expectations (Kendrick, 2015).</w:t>
      </w:r>
    </w:p>
    <w:p w14:paraId="48185D7C" w14:textId="65075AB6" w:rsidR="006C4FE0" w:rsidRPr="00C61908" w:rsidRDefault="006C4FE0" w:rsidP="00C61908">
      <w:pPr>
        <w:spacing w:line="480" w:lineRule="auto"/>
        <w:rPr>
          <w:rFonts w:ascii="Times New Roman" w:hAnsi="Times New Roman" w:cs="Times New Roman"/>
          <w:b/>
          <w:bCs/>
        </w:rPr>
      </w:pPr>
      <w:r w:rsidRPr="00C61908">
        <w:rPr>
          <w:rFonts w:ascii="Times New Roman" w:hAnsi="Times New Roman" w:cs="Times New Roman"/>
          <w:b/>
          <w:bCs/>
        </w:rPr>
        <w:t>Schedule and Cost Planning</w:t>
      </w:r>
    </w:p>
    <w:p w14:paraId="18A6E8EF" w14:textId="48D66C58" w:rsidR="006C4FE0" w:rsidRPr="00C61908" w:rsidRDefault="006C4FE0" w:rsidP="00C61908">
      <w:pPr>
        <w:spacing w:line="480" w:lineRule="auto"/>
        <w:ind w:firstLine="720"/>
        <w:rPr>
          <w:rFonts w:ascii="Times New Roman" w:hAnsi="Times New Roman" w:cs="Times New Roman"/>
        </w:rPr>
      </w:pPr>
      <w:r w:rsidRPr="00C61908">
        <w:rPr>
          <w:rFonts w:ascii="Times New Roman" w:hAnsi="Times New Roman" w:cs="Times New Roman"/>
        </w:rPr>
        <w:t>Schedule and cost planning involve risk management by assessing the sequencing of activities, availability of resources and budget assumptions. Dependency analysis can help to determine what activities might cause delays, and resource planning can help to identify any gaps in personnel, equipment, or funding. Realistic estimates and Contingency Reserves reduce schedule delays and cost overruns. These planning processes enable project managers to take initiative instead of taking corrective action when issues arise (PMI, 2021).</w:t>
      </w:r>
    </w:p>
    <w:p w14:paraId="5FFA05B9" w14:textId="3754BCA9" w:rsidR="006C4FE0" w:rsidRPr="00C61908" w:rsidRDefault="006C4FE0" w:rsidP="00C61908">
      <w:pPr>
        <w:spacing w:line="480" w:lineRule="auto"/>
        <w:rPr>
          <w:rFonts w:ascii="Times New Roman" w:hAnsi="Times New Roman" w:cs="Times New Roman"/>
          <w:b/>
          <w:bCs/>
        </w:rPr>
      </w:pPr>
      <w:r w:rsidRPr="00C61908">
        <w:rPr>
          <w:rFonts w:ascii="Times New Roman" w:hAnsi="Times New Roman" w:cs="Times New Roman"/>
          <w:b/>
          <w:bCs/>
        </w:rPr>
        <w:t xml:space="preserve">Technical and Quality Planning </w:t>
      </w:r>
    </w:p>
    <w:p w14:paraId="2D9F4F60" w14:textId="15C605AC" w:rsidR="006C4FE0" w:rsidRPr="00C61908" w:rsidRDefault="006C4FE0" w:rsidP="00C61908">
      <w:pPr>
        <w:spacing w:line="480" w:lineRule="auto"/>
        <w:ind w:firstLine="720"/>
        <w:rPr>
          <w:rFonts w:ascii="Times New Roman" w:hAnsi="Times New Roman" w:cs="Times New Roman"/>
        </w:rPr>
      </w:pPr>
      <w:r w:rsidRPr="00C61908">
        <w:rPr>
          <w:rFonts w:ascii="Times New Roman" w:hAnsi="Times New Roman" w:cs="Times New Roman"/>
        </w:rPr>
        <w:lastRenderedPageBreak/>
        <w:t xml:space="preserve">Technical and quality planning include concerns with system performance, reliability and the acceptance of the deliverables. Technical evaluations, testing plans and quality criteria enable teams to uncover possible issues before they are put in place. For instance, a prototype test and validation exercise can minimize the chances of technical flaws turning into a major project </w:t>
      </w:r>
      <w:r w:rsidR="00CB5931" w:rsidRPr="00C61908">
        <w:rPr>
          <w:rFonts w:ascii="Times New Roman" w:hAnsi="Times New Roman" w:cs="Times New Roman"/>
        </w:rPr>
        <w:t>disruption</w:t>
      </w:r>
      <w:r w:rsidRPr="00C61908">
        <w:rPr>
          <w:rFonts w:ascii="Times New Roman" w:hAnsi="Times New Roman" w:cs="Times New Roman"/>
        </w:rPr>
        <w:t>. These activities are mostly mitigation activities which aim at lowering the likelihood and risk of technical issues by identification and management of issues at an early stage (Kendrick, 2015).</w:t>
      </w:r>
    </w:p>
    <w:p w14:paraId="5AC2862D" w14:textId="68DB122A" w:rsidR="006C4FE0" w:rsidRPr="00C61908" w:rsidRDefault="006C4FE0" w:rsidP="00C61908">
      <w:pPr>
        <w:spacing w:line="480" w:lineRule="auto"/>
        <w:rPr>
          <w:rFonts w:ascii="Times New Roman" w:hAnsi="Times New Roman" w:cs="Times New Roman"/>
          <w:b/>
          <w:bCs/>
        </w:rPr>
      </w:pPr>
      <w:r w:rsidRPr="00C61908">
        <w:rPr>
          <w:rFonts w:ascii="Times New Roman" w:hAnsi="Times New Roman" w:cs="Times New Roman"/>
          <w:b/>
          <w:bCs/>
        </w:rPr>
        <w:t>Communication and Stakeholder Planning</w:t>
      </w:r>
    </w:p>
    <w:p w14:paraId="33996F0B" w14:textId="3C717D27" w:rsidR="006C4FE0" w:rsidRPr="00C61908" w:rsidRDefault="006C4FE0" w:rsidP="00C61908">
      <w:pPr>
        <w:spacing w:line="480" w:lineRule="auto"/>
        <w:ind w:firstLine="720"/>
        <w:rPr>
          <w:rFonts w:ascii="Times New Roman" w:hAnsi="Times New Roman" w:cs="Times New Roman"/>
        </w:rPr>
      </w:pPr>
      <w:r w:rsidRPr="00C61908">
        <w:rPr>
          <w:rFonts w:ascii="Times New Roman" w:hAnsi="Times New Roman" w:cs="Times New Roman"/>
        </w:rPr>
        <w:t xml:space="preserve">Communication and stakeholder planning </w:t>
      </w:r>
      <w:r w:rsidR="00CB5931" w:rsidRPr="00C61908">
        <w:rPr>
          <w:rFonts w:ascii="Times New Roman" w:hAnsi="Times New Roman" w:cs="Times New Roman"/>
        </w:rPr>
        <w:t>minimize</w:t>
      </w:r>
      <w:r w:rsidRPr="00C61908">
        <w:rPr>
          <w:rFonts w:ascii="Times New Roman" w:hAnsi="Times New Roman" w:cs="Times New Roman"/>
        </w:rPr>
        <w:t xml:space="preserve"> the risks faced by the </w:t>
      </w:r>
      <w:r w:rsidR="00CB5931" w:rsidRPr="00C61908">
        <w:rPr>
          <w:rFonts w:ascii="Times New Roman" w:hAnsi="Times New Roman" w:cs="Times New Roman"/>
        </w:rPr>
        <w:t>organization</w:t>
      </w:r>
      <w:r w:rsidRPr="00C61908">
        <w:rPr>
          <w:rFonts w:ascii="Times New Roman" w:hAnsi="Times New Roman" w:cs="Times New Roman"/>
        </w:rPr>
        <w:t xml:space="preserve"> as they provide clarity on information flows, engagement and decision making. A communication matrix can help identify who needs to know what information, when the communication should take place, and in what format. Stakeholder engagement strategies that involve affected groups across the project lifecycle help to minimize resistance, misalignment and delayed decision. The planning activities have a supporting effect on mitigation responses, they make them transparent, collaborative and committed by stakeholders (PMI, 2021).</w:t>
      </w:r>
    </w:p>
    <w:p w14:paraId="2D88DD86" w14:textId="72090835" w:rsidR="006C4FE0" w:rsidRPr="00C61908" w:rsidRDefault="006C4FE0" w:rsidP="00C61908">
      <w:pPr>
        <w:spacing w:line="480" w:lineRule="auto"/>
        <w:rPr>
          <w:rFonts w:ascii="Times New Roman" w:hAnsi="Times New Roman" w:cs="Times New Roman"/>
          <w:b/>
          <w:bCs/>
        </w:rPr>
      </w:pPr>
      <w:r w:rsidRPr="00C61908">
        <w:rPr>
          <w:rFonts w:ascii="Times New Roman" w:hAnsi="Times New Roman" w:cs="Times New Roman"/>
          <w:b/>
          <w:bCs/>
        </w:rPr>
        <w:t>Proactive Risk Planning Checklist (Included Artifact)</w:t>
      </w:r>
    </w:p>
    <w:p w14:paraId="07BEFE5B" w14:textId="45309424" w:rsidR="006C4FE0" w:rsidRPr="00C61908" w:rsidRDefault="006C4FE0" w:rsidP="00C61908">
      <w:pPr>
        <w:spacing w:line="480" w:lineRule="auto"/>
        <w:ind w:firstLine="720"/>
        <w:rPr>
          <w:rFonts w:ascii="Times New Roman" w:hAnsi="Times New Roman" w:cs="Times New Roman"/>
        </w:rPr>
      </w:pPr>
      <w:r w:rsidRPr="00C61908">
        <w:rPr>
          <w:rFonts w:ascii="Times New Roman" w:hAnsi="Times New Roman" w:cs="Times New Roman"/>
        </w:rPr>
        <w:t xml:space="preserve">A proactive risk planning checklist helps project managers ensure that important uncertainty factors are covered before project work starts. The checklist incorporates the PMI's risk categorization process, which covers the strategic, organizational, scope, technical, external, governance, cost and schedule dimensions. Project teams can use these questions to identify potential threats, accountability, and select appropriate response strategies before a risk impacts project objectives by integration into planning activities. This practical tool enhances the </w:t>
      </w:r>
      <w:r w:rsidRPr="00C61908">
        <w:rPr>
          <w:rFonts w:ascii="Times New Roman" w:hAnsi="Times New Roman" w:cs="Times New Roman"/>
        </w:rPr>
        <w:lastRenderedPageBreak/>
        <w:t>consistency of risk identification and fortifies decision making process during the life cycle of the project (PMI, 2021).</w:t>
      </w:r>
    </w:p>
    <w:p w14:paraId="5340E54B" w14:textId="77777777" w:rsidR="00CB1AFD" w:rsidRPr="00C61908" w:rsidRDefault="00CB1AFD" w:rsidP="00C61908">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C61908">
        <w:rPr>
          <w:rFonts w:ascii="Times New Roman" w:eastAsia="Times New Roman" w:hAnsi="Times New Roman" w:cs="Times New Roman"/>
          <w:b/>
          <w:bCs/>
          <w:kern w:val="0"/>
          <w14:ligatures w14:val="none"/>
        </w:rPr>
        <w:t>Project Planning Risk Checklist</w:t>
      </w:r>
    </w:p>
    <w:tbl>
      <w:tblPr>
        <w:tblStyle w:val="TableGrid"/>
        <w:tblW w:w="9720" w:type="dxa"/>
        <w:tblInd w:w="-5" w:type="dxa"/>
        <w:tblLook w:val="04A0" w:firstRow="1" w:lastRow="0" w:firstColumn="1" w:lastColumn="0" w:noHBand="0" w:noVBand="1"/>
      </w:tblPr>
      <w:tblGrid>
        <w:gridCol w:w="7594"/>
        <w:gridCol w:w="2126"/>
      </w:tblGrid>
      <w:tr w:rsidR="00CB1AFD" w:rsidRPr="00C61908" w14:paraId="70EE4F2E" w14:textId="77777777" w:rsidTr="00E846C6">
        <w:tc>
          <w:tcPr>
            <w:tcW w:w="7594" w:type="dxa"/>
            <w:hideMark/>
          </w:tcPr>
          <w:p w14:paraId="7BA94E3A" w14:textId="77777777" w:rsidR="00CB1AFD" w:rsidRPr="00C61908" w:rsidRDefault="00CB1AFD" w:rsidP="00C61908">
            <w:pPr>
              <w:spacing w:line="480" w:lineRule="auto"/>
              <w:jc w:val="center"/>
              <w:rPr>
                <w:rFonts w:ascii="Times New Roman" w:eastAsia="Times New Roman" w:hAnsi="Times New Roman" w:cs="Times New Roman"/>
                <w:b/>
                <w:bCs/>
                <w:kern w:val="0"/>
                <w14:ligatures w14:val="none"/>
              </w:rPr>
            </w:pPr>
            <w:r w:rsidRPr="00C61908">
              <w:rPr>
                <w:rFonts w:ascii="Times New Roman" w:eastAsia="Times New Roman" w:hAnsi="Times New Roman" w:cs="Times New Roman"/>
                <w:b/>
                <w:bCs/>
                <w:kern w:val="0"/>
                <w14:ligatures w14:val="none"/>
              </w:rPr>
              <w:t>Question</w:t>
            </w:r>
          </w:p>
        </w:tc>
        <w:tc>
          <w:tcPr>
            <w:tcW w:w="2126" w:type="dxa"/>
            <w:hideMark/>
          </w:tcPr>
          <w:p w14:paraId="292AFB10" w14:textId="77777777" w:rsidR="00CB1AFD" w:rsidRPr="00C61908" w:rsidRDefault="00CB1AFD" w:rsidP="00C61908">
            <w:pPr>
              <w:spacing w:line="480" w:lineRule="auto"/>
              <w:jc w:val="center"/>
              <w:rPr>
                <w:rFonts w:ascii="Times New Roman" w:eastAsia="Times New Roman" w:hAnsi="Times New Roman" w:cs="Times New Roman"/>
                <w:b/>
                <w:bCs/>
                <w:kern w:val="0"/>
                <w14:ligatures w14:val="none"/>
              </w:rPr>
            </w:pPr>
            <w:r w:rsidRPr="00C61908">
              <w:rPr>
                <w:rFonts w:ascii="Times New Roman" w:eastAsia="Times New Roman" w:hAnsi="Times New Roman" w:cs="Times New Roman"/>
                <w:b/>
                <w:bCs/>
                <w:kern w:val="0"/>
                <w14:ligatures w14:val="none"/>
              </w:rPr>
              <w:t>Risk Dimension</w:t>
            </w:r>
          </w:p>
        </w:tc>
      </w:tr>
      <w:tr w:rsidR="00CB1AFD" w:rsidRPr="00C61908" w14:paraId="6FBF0771" w14:textId="77777777" w:rsidTr="00E846C6">
        <w:tc>
          <w:tcPr>
            <w:tcW w:w="7594" w:type="dxa"/>
            <w:hideMark/>
          </w:tcPr>
          <w:p w14:paraId="016084A9"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Have project assumptions and constraints been documented, analyzed, and validated with key stakeholders?</w:t>
            </w:r>
          </w:p>
        </w:tc>
        <w:tc>
          <w:tcPr>
            <w:tcW w:w="2126" w:type="dxa"/>
            <w:hideMark/>
          </w:tcPr>
          <w:p w14:paraId="6ECDFF10"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Strategic</w:t>
            </w:r>
          </w:p>
        </w:tc>
      </w:tr>
      <w:tr w:rsidR="00CB1AFD" w:rsidRPr="00C61908" w14:paraId="735B8773" w14:textId="77777777" w:rsidTr="00E846C6">
        <w:tc>
          <w:tcPr>
            <w:tcW w:w="7594" w:type="dxa"/>
            <w:hideMark/>
          </w:tcPr>
          <w:p w14:paraId="0E8D5E62"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Have stakeholders been identified, analyzed based on influence and interest, and included in engagement planning?</w:t>
            </w:r>
          </w:p>
        </w:tc>
        <w:tc>
          <w:tcPr>
            <w:tcW w:w="2126" w:type="dxa"/>
            <w:hideMark/>
          </w:tcPr>
          <w:p w14:paraId="606A9178"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Organizational</w:t>
            </w:r>
          </w:p>
        </w:tc>
      </w:tr>
      <w:tr w:rsidR="00CB1AFD" w:rsidRPr="00C61908" w14:paraId="27565D3A" w14:textId="77777777" w:rsidTr="00E846C6">
        <w:tc>
          <w:tcPr>
            <w:tcW w:w="7594" w:type="dxa"/>
            <w:hideMark/>
          </w:tcPr>
          <w:p w14:paraId="19684555"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Has the WBS identified all required deliverables, activities, dependencies, and acceptance criteria?</w:t>
            </w:r>
          </w:p>
        </w:tc>
        <w:tc>
          <w:tcPr>
            <w:tcW w:w="2126" w:type="dxa"/>
            <w:hideMark/>
          </w:tcPr>
          <w:p w14:paraId="50389FC6"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Scope</w:t>
            </w:r>
          </w:p>
        </w:tc>
      </w:tr>
      <w:tr w:rsidR="00CB1AFD" w:rsidRPr="00C61908" w14:paraId="3E7716CE" w14:textId="77777777" w:rsidTr="00E846C6">
        <w:tc>
          <w:tcPr>
            <w:tcW w:w="7594" w:type="dxa"/>
            <w:hideMark/>
          </w:tcPr>
          <w:p w14:paraId="37433BEF"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Have technical risks, system dependencies, and feasibility concerns been assessed before execution?</w:t>
            </w:r>
          </w:p>
        </w:tc>
        <w:tc>
          <w:tcPr>
            <w:tcW w:w="2126" w:type="dxa"/>
            <w:hideMark/>
          </w:tcPr>
          <w:p w14:paraId="295F0CB4"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Technical</w:t>
            </w:r>
          </w:p>
        </w:tc>
      </w:tr>
      <w:tr w:rsidR="00CB1AFD" w:rsidRPr="00C61908" w14:paraId="29DA1DBA" w14:textId="77777777" w:rsidTr="00E846C6">
        <w:tc>
          <w:tcPr>
            <w:tcW w:w="7594" w:type="dxa"/>
            <w:hideMark/>
          </w:tcPr>
          <w:p w14:paraId="79B2A643"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Have external risks such as suppliers, regulations, market conditions, and environmental factors been evaluated?</w:t>
            </w:r>
          </w:p>
        </w:tc>
        <w:tc>
          <w:tcPr>
            <w:tcW w:w="2126" w:type="dxa"/>
            <w:hideMark/>
          </w:tcPr>
          <w:p w14:paraId="55A158D7"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External</w:t>
            </w:r>
          </w:p>
        </w:tc>
      </w:tr>
      <w:tr w:rsidR="00CB1AFD" w:rsidRPr="00C61908" w14:paraId="705D32DB" w14:textId="77777777" w:rsidTr="00E846C6">
        <w:tc>
          <w:tcPr>
            <w:tcW w:w="7594" w:type="dxa"/>
            <w:hideMark/>
          </w:tcPr>
          <w:p w14:paraId="2FB33872"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Has each identified risk been assigned a responsible owner for monitoring and response implementation?</w:t>
            </w:r>
          </w:p>
        </w:tc>
        <w:tc>
          <w:tcPr>
            <w:tcW w:w="2126" w:type="dxa"/>
            <w:hideMark/>
          </w:tcPr>
          <w:p w14:paraId="09893905"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Governance</w:t>
            </w:r>
          </w:p>
        </w:tc>
      </w:tr>
      <w:tr w:rsidR="00CB1AFD" w:rsidRPr="00C61908" w14:paraId="5A55A986" w14:textId="77777777" w:rsidTr="00E846C6">
        <w:tc>
          <w:tcPr>
            <w:tcW w:w="7594" w:type="dxa"/>
            <w:hideMark/>
          </w:tcPr>
          <w:p w14:paraId="4274E4AF"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Has an appropriate risk response strategy been selected, including avoid, mitigate, transfer, or accept?</w:t>
            </w:r>
          </w:p>
        </w:tc>
        <w:tc>
          <w:tcPr>
            <w:tcW w:w="2126" w:type="dxa"/>
            <w:hideMark/>
          </w:tcPr>
          <w:p w14:paraId="1975E16C"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Risk Response</w:t>
            </w:r>
          </w:p>
        </w:tc>
      </w:tr>
      <w:tr w:rsidR="00CB1AFD" w:rsidRPr="00C61908" w14:paraId="59AE94B7" w14:textId="77777777" w:rsidTr="00E846C6">
        <w:tc>
          <w:tcPr>
            <w:tcW w:w="7594" w:type="dxa"/>
            <w:hideMark/>
          </w:tcPr>
          <w:p w14:paraId="235569D9"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Have contingency reserves been established to address potential cost increases and schedule disruptions?</w:t>
            </w:r>
          </w:p>
        </w:tc>
        <w:tc>
          <w:tcPr>
            <w:tcW w:w="2126" w:type="dxa"/>
            <w:hideMark/>
          </w:tcPr>
          <w:p w14:paraId="1ECA8074"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Cost/Schedule</w:t>
            </w:r>
          </w:p>
        </w:tc>
      </w:tr>
    </w:tbl>
    <w:p w14:paraId="198C21A0" w14:textId="7C27374E" w:rsidR="00CB1AFD" w:rsidRPr="00C61908" w:rsidRDefault="00CB1AFD" w:rsidP="00C61908">
      <w:pPr>
        <w:spacing w:after="0" w:line="480" w:lineRule="auto"/>
        <w:rPr>
          <w:rFonts w:ascii="Times New Roman" w:eastAsia="Times New Roman" w:hAnsi="Times New Roman" w:cs="Times New Roman"/>
          <w:kern w:val="0"/>
          <w14:ligatures w14:val="none"/>
        </w:rPr>
      </w:pPr>
    </w:p>
    <w:p w14:paraId="49E83AE7" w14:textId="4847DCFE" w:rsidR="006C4FE0" w:rsidRPr="00C61908" w:rsidRDefault="006C4FE0" w:rsidP="00C61908">
      <w:pPr>
        <w:spacing w:line="480" w:lineRule="auto"/>
        <w:rPr>
          <w:rFonts w:ascii="Times New Roman" w:hAnsi="Times New Roman" w:cs="Times New Roman"/>
          <w:b/>
          <w:bCs/>
        </w:rPr>
      </w:pPr>
      <w:r w:rsidRPr="00C61908">
        <w:rPr>
          <w:rFonts w:ascii="Times New Roman" w:hAnsi="Times New Roman" w:cs="Times New Roman"/>
          <w:b/>
          <w:bCs/>
        </w:rPr>
        <w:t>Planning Artifact: Risk-Integrated WBS Template</w:t>
      </w:r>
    </w:p>
    <w:p w14:paraId="6D2890CC" w14:textId="77777777" w:rsidR="006C4FE0" w:rsidRPr="00C61908" w:rsidRDefault="006C4FE0" w:rsidP="00C61908">
      <w:pPr>
        <w:spacing w:line="480" w:lineRule="auto"/>
        <w:ind w:firstLine="720"/>
        <w:rPr>
          <w:rFonts w:ascii="Times New Roman" w:hAnsi="Times New Roman" w:cs="Times New Roman"/>
        </w:rPr>
      </w:pPr>
      <w:r w:rsidRPr="00C61908">
        <w:rPr>
          <w:rFonts w:ascii="Times New Roman" w:hAnsi="Times New Roman" w:cs="Times New Roman"/>
        </w:rPr>
        <w:lastRenderedPageBreak/>
        <w:t>The traditional WBS identifies project deliverables and activities, but adding risk information to the WBS provides a strong link between work packages and potential risks and/or responses, thereby enhancing proactive risk management. The modified WBS template enables project teams to identify ownership, categorize risks, and decide on corrective measures at a planning stage, not during the time they're resolved. The artifact illustrates the use of scope planning as an active risk management process and the connection of deliverables with uncertainty considerations (Kendrick, 2015).</w:t>
      </w:r>
    </w:p>
    <w:p w14:paraId="1944EE44" w14:textId="77777777" w:rsidR="00CB1AFD" w:rsidRPr="00C61908" w:rsidRDefault="00CB1AFD" w:rsidP="00C61908">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C61908">
        <w:rPr>
          <w:rFonts w:ascii="Times New Roman" w:eastAsia="Times New Roman" w:hAnsi="Times New Roman" w:cs="Times New Roman"/>
          <w:b/>
          <w:bCs/>
          <w:kern w:val="0"/>
          <w14:ligatures w14:val="none"/>
        </w:rPr>
        <w:t>Risk-Integrated Work Breakdown Structure Template</w:t>
      </w:r>
    </w:p>
    <w:tbl>
      <w:tblPr>
        <w:tblStyle w:val="TableGrid"/>
        <w:tblW w:w="9540" w:type="dxa"/>
        <w:tblInd w:w="-95" w:type="dxa"/>
        <w:tblLook w:val="04A0" w:firstRow="1" w:lastRow="0" w:firstColumn="1" w:lastColumn="0" w:noHBand="0" w:noVBand="1"/>
      </w:tblPr>
      <w:tblGrid>
        <w:gridCol w:w="750"/>
        <w:gridCol w:w="1550"/>
        <w:gridCol w:w="1783"/>
        <w:gridCol w:w="1443"/>
        <w:gridCol w:w="1469"/>
        <w:gridCol w:w="1643"/>
        <w:gridCol w:w="1177"/>
      </w:tblGrid>
      <w:tr w:rsidR="00CB1AFD" w:rsidRPr="00C61908" w14:paraId="7F06D0DF" w14:textId="77777777" w:rsidTr="00E846C6">
        <w:tc>
          <w:tcPr>
            <w:tcW w:w="750" w:type="dxa"/>
            <w:hideMark/>
          </w:tcPr>
          <w:p w14:paraId="04755D68" w14:textId="77777777" w:rsidR="00CB1AFD" w:rsidRPr="00C61908" w:rsidRDefault="00CB1AFD" w:rsidP="00C61908">
            <w:pPr>
              <w:spacing w:line="480" w:lineRule="auto"/>
              <w:jc w:val="center"/>
              <w:rPr>
                <w:rFonts w:ascii="Times New Roman" w:eastAsia="Times New Roman" w:hAnsi="Times New Roman" w:cs="Times New Roman"/>
                <w:b/>
                <w:bCs/>
                <w:kern w:val="0"/>
                <w14:ligatures w14:val="none"/>
              </w:rPr>
            </w:pPr>
            <w:r w:rsidRPr="00C61908">
              <w:rPr>
                <w:rFonts w:ascii="Times New Roman" w:eastAsia="Times New Roman" w:hAnsi="Times New Roman" w:cs="Times New Roman"/>
                <w:b/>
                <w:bCs/>
                <w:kern w:val="0"/>
                <w14:ligatures w14:val="none"/>
              </w:rPr>
              <w:t>WBS ID</w:t>
            </w:r>
          </w:p>
        </w:tc>
        <w:tc>
          <w:tcPr>
            <w:tcW w:w="1550" w:type="dxa"/>
            <w:hideMark/>
          </w:tcPr>
          <w:p w14:paraId="258D02D3" w14:textId="77777777" w:rsidR="00CB1AFD" w:rsidRPr="00C61908" w:rsidRDefault="00CB1AFD" w:rsidP="00C61908">
            <w:pPr>
              <w:spacing w:line="480" w:lineRule="auto"/>
              <w:jc w:val="center"/>
              <w:rPr>
                <w:rFonts w:ascii="Times New Roman" w:eastAsia="Times New Roman" w:hAnsi="Times New Roman" w:cs="Times New Roman"/>
                <w:b/>
                <w:bCs/>
                <w:kern w:val="0"/>
                <w14:ligatures w14:val="none"/>
              </w:rPr>
            </w:pPr>
            <w:r w:rsidRPr="00C61908">
              <w:rPr>
                <w:rFonts w:ascii="Times New Roman" w:eastAsia="Times New Roman" w:hAnsi="Times New Roman" w:cs="Times New Roman"/>
                <w:b/>
                <w:bCs/>
                <w:kern w:val="0"/>
                <w14:ligatures w14:val="none"/>
              </w:rPr>
              <w:t>Deliverable</w:t>
            </w:r>
          </w:p>
        </w:tc>
        <w:tc>
          <w:tcPr>
            <w:tcW w:w="1890" w:type="dxa"/>
            <w:hideMark/>
          </w:tcPr>
          <w:p w14:paraId="2DB21A4A" w14:textId="77777777" w:rsidR="00CB1AFD" w:rsidRPr="00C61908" w:rsidRDefault="00CB1AFD" w:rsidP="00C61908">
            <w:pPr>
              <w:spacing w:line="480" w:lineRule="auto"/>
              <w:jc w:val="center"/>
              <w:rPr>
                <w:rFonts w:ascii="Times New Roman" w:eastAsia="Times New Roman" w:hAnsi="Times New Roman" w:cs="Times New Roman"/>
                <w:b/>
                <w:bCs/>
                <w:kern w:val="0"/>
                <w14:ligatures w14:val="none"/>
              </w:rPr>
            </w:pPr>
            <w:r w:rsidRPr="00C61908">
              <w:rPr>
                <w:rFonts w:ascii="Times New Roman" w:eastAsia="Times New Roman" w:hAnsi="Times New Roman" w:cs="Times New Roman"/>
                <w:b/>
                <w:bCs/>
                <w:kern w:val="0"/>
                <w14:ligatures w14:val="none"/>
              </w:rPr>
              <w:t>Activities</w:t>
            </w:r>
          </w:p>
        </w:tc>
        <w:tc>
          <w:tcPr>
            <w:tcW w:w="0" w:type="auto"/>
            <w:hideMark/>
          </w:tcPr>
          <w:p w14:paraId="24A76738" w14:textId="77777777" w:rsidR="00CB1AFD" w:rsidRPr="00C61908" w:rsidRDefault="00CB1AFD" w:rsidP="00C61908">
            <w:pPr>
              <w:spacing w:line="480" w:lineRule="auto"/>
              <w:jc w:val="center"/>
              <w:rPr>
                <w:rFonts w:ascii="Times New Roman" w:eastAsia="Times New Roman" w:hAnsi="Times New Roman" w:cs="Times New Roman"/>
                <w:b/>
                <w:bCs/>
                <w:kern w:val="0"/>
                <w14:ligatures w14:val="none"/>
              </w:rPr>
            </w:pPr>
            <w:r w:rsidRPr="00C61908">
              <w:rPr>
                <w:rFonts w:ascii="Times New Roman" w:eastAsia="Times New Roman" w:hAnsi="Times New Roman" w:cs="Times New Roman"/>
                <w:b/>
                <w:bCs/>
                <w:kern w:val="0"/>
                <w14:ligatures w14:val="none"/>
              </w:rPr>
              <w:t>Owner</w:t>
            </w:r>
          </w:p>
        </w:tc>
        <w:tc>
          <w:tcPr>
            <w:tcW w:w="1703" w:type="dxa"/>
            <w:hideMark/>
          </w:tcPr>
          <w:p w14:paraId="452F9D1F" w14:textId="77777777" w:rsidR="00CB1AFD" w:rsidRPr="00C61908" w:rsidRDefault="00CB1AFD" w:rsidP="00C61908">
            <w:pPr>
              <w:spacing w:line="480" w:lineRule="auto"/>
              <w:jc w:val="center"/>
              <w:rPr>
                <w:rFonts w:ascii="Times New Roman" w:eastAsia="Times New Roman" w:hAnsi="Times New Roman" w:cs="Times New Roman"/>
                <w:b/>
                <w:bCs/>
                <w:kern w:val="0"/>
                <w14:ligatures w14:val="none"/>
              </w:rPr>
            </w:pPr>
            <w:r w:rsidRPr="00C61908">
              <w:rPr>
                <w:rFonts w:ascii="Times New Roman" w:eastAsia="Times New Roman" w:hAnsi="Times New Roman" w:cs="Times New Roman"/>
                <w:b/>
                <w:bCs/>
                <w:kern w:val="0"/>
                <w14:ligatures w14:val="none"/>
              </w:rPr>
              <w:t>Risk</w:t>
            </w:r>
          </w:p>
        </w:tc>
        <w:tc>
          <w:tcPr>
            <w:tcW w:w="1643" w:type="dxa"/>
            <w:hideMark/>
          </w:tcPr>
          <w:p w14:paraId="4EAB7691" w14:textId="77777777" w:rsidR="00CB1AFD" w:rsidRPr="00C61908" w:rsidRDefault="00CB1AFD" w:rsidP="00C61908">
            <w:pPr>
              <w:spacing w:line="480" w:lineRule="auto"/>
              <w:jc w:val="center"/>
              <w:rPr>
                <w:rFonts w:ascii="Times New Roman" w:eastAsia="Times New Roman" w:hAnsi="Times New Roman" w:cs="Times New Roman"/>
                <w:b/>
                <w:bCs/>
                <w:kern w:val="0"/>
                <w14:ligatures w14:val="none"/>
              </w:rPr>
            </w:pPr>
            <w:r w:rsidRPr="00C61908">
              <w:rPr>
                <w:rFonts w:ascii="Times New Roman" w:eastAsia="Times New Roman" w:hAnsi="Times New Roman" w:cs="Times New Roman"/>
                <w:b/>
                <w:bCs/>
                <w:kern w:val="0"/>
                <w14:ligatures w14:val="none"/>
              </w:rPr>
              <w:t>Category</w:t>
            </w:r>
          </w:p>
        </w:tc>
        <w:tc>
          <w:tcPr>
            <w:tcW w:w="561" w:type="dxa"/>
            <w:hideMark/>
          </w:tcPr>
          <w:p w14:paraId="22F07D62" w14:textId="77777777" w:rsidR="00CB1AFD" w:rsidRPr="00C61908" w:rsidRDefault="00CB1AFD" w:rsidP="00C61908">
            <w:pPr>
              <w:spacing w:line="480" w:lineRule="auto"/>
              <w:jc w:val="center"/>
              <w:rPr>
                <w:rFonts w:ascii="Times New Roman" w:eastAsia="Times New Roman" w:hAnsi="Times New Roman" w:cs="Times New Roman"/>
                <w:b/>
                <w:bCs/>
                <w:kern w:val="0"/>
                <w14:ligatures w14:val="none"/>
              </w:rPr>
            </w:pPr>
            <w:r w:rsidRPr="00C61908">
              <w:rPr>
                <w:rFonts w:ascii="Times New Roman" w:eastAsia="Times New Roman" w:hAnsi="Times New Roman" w:cs="Times New Roman"/>
                <w:b/>
                <w:bCs/>
                <w:kern w:val="0"/>
                <w14:ligatures w14:val="none"/>
              </w:rPr>
              <w:t>Response</w:t>
            </w:r>
          </w:p>
        </w:tc>
      </w:tr>
      <w:tr w:rsidR="00CB1AFD" w:rsidRPr="00C61908" w14:paraId="7D4B68AA" w14:textId="77777777" w:rsidTr="00E846C6">
        <w:tc>
          <w:tcPr>
            <w:tcW w:w="750" w:type="dxa"/>
            <w:hideMark/>
          </w:tcPr>
          <w:p w14:paraId="4387E4A9"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1.0</w:t>
            </w:r>
          </w:p>
        </w:tc>
        <w:tc>
          <w:tcPr>
            <w:tcW w:w="1550" w:type="dxa"/>
            <w:hideMark/>
          </w:tcPr>
          <w:p w14:paraId="4F5C05BB"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Requirements Definition</w:t>
            </w:r>
          </w:p>
        </w:tc>
        <w:tc>
          <w:tcPr>
            <w:tcW w:w="1890" w:type="dxa"/>
            <w:hideMark/>
          </w:tcPr>
          <w:p w14:paraId="1854A4B6"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Stakeholder workshops and requirements validation</w:t>
            </w:r>
          </w:p>
        </w:tc>
        <w:tc>
          <w:tcPr>
            <w:tcW w:w="0" w:type="auto"/>
            <w:hideMark/>
          </w:tcPr>
          <w:p w14:paraId="023FA26D"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Business Lead</w:t>
            </w:r>
          </w:p>
        </w:tc>
        <w:tc>
          <w:tcPr>
            <w:tcW w:w="1703" w:type="dxa"/>
            <w:hideMark/>
          </w:tcPr>
          <w:p w14:paraId="5E46EDF0"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Incomplete requirements and unclear expectations</w:t>
            </w:r>
          </w:p>
        </w:tc>
        <w:tc>
          <w:tcPr>
            <w:tcW w:w="1643" w:type="dxa"/>
            <w:hideMark/>
          </w:tcPr>
          <w:p w14:paraId="6222EED3"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Organizational</w:t>
            </w:r>
          </w:p>
        </w:tc>
        <w:tc>
          <w:tcPr>
            <w:tcW w:w="561" w:type="dxa"/>
            <w:hideMark/>
          </w:tcPr>
          <w:p w14:paraId="7130EEF0"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Mitigate</w:t>
            </w:r>
          </w:p>
        </w:tc>
      </w:tr>
      <w:tr w:rsidR="00CB1AFD" w:rsidRPr="00C61908" w14:paraId="7EC3235A" w14:textId="77777777" w:rsidTr="00E846C6">
        <w:tc>
          <w:tcPr>
            <w:tcW w:w="750" w:type="dxa"/>
            <w:hideMark/>
          </w:tcPr>
          <w:p w14:paraId="50FB4F26"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2.0</w:t>
            </w:r>
          </w:p>
        </w:tc>
        <w:tc>
          <w:tcPr>
            <w:tcW w:w="1550" w:type="dxa"/>
            <w:hideMark/>
          </w:tcPr>
          <w:p w14:paraId="5418355A"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System Development</w:t>
            </w:r>
          </w:p>
        </w:tc>
        <w:tc>
          <w:tcPr>
            <w:tcW w:w="1890" w:type="dxa"/>
            <w:hideMark/>
          </w:tcPr>
          <w:p w14:paraId="3FC3A1A6"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System configuration, integration, and testing activities</w:t>
            </w:r>
          </w:p>
        </w:tc>
        <w:tc>
          <w:tcPr>
            <w:tcW w:w="0" w:type="auto"/>
            <w:hideMark/>
          </w:tcPr>
          <w:p w14:paraId="4F1D42FB"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Technical Lead</w:t>
            </w:r>
          </w:p>
        </w:tc>
        <w:tc>
          <w:tcPr>
            <w:tcW w:w="1703" w:type="dxa"/>
            <w:hideMark/>
          </w:tcPr>
          <w:p w14:paraId="309F83AE"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System integration issues and technical defects</w:t>
            </w:r>
          </w:p>
        </w:tc>
        <w:tc>
          <w:tcPr>
            <w:tcW w:w="1643" w:type="dxa"/>
            <w:hideMark/>
          </w:tcPr>
          <w:p w14:paraId="728B84A6"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Technical</w:t>
            </w:r>
          </w:p>
        </w:tc>
        <w:tc>
          <w:tcPr>
            <w:tcW w:w="561" w:type="dxa"/>
            <w:hideMark/>
          </w:tcPr>
          <w:p w14:paraId="6D6CB75C"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Mitigate</w:t>
            </w:r>
          </w:p>
        </w:tc>
      </w:tr>
      <w:tr w:rsidR="00CB1AFD" w:rsidRPr="00C61908" w14:paraId="2965CBE5" w14:textId="77777777" w:rsidTr="00E846C6">
        <w:tc>
          <w:tcPr>
            <w:tcW w:w="750" w:type="dxa"/>
            <w:hideMark/>
          </w:tcPr>
          <w:p w14:paraId="1F30394B"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3.0</w:t>
            </w:r>
          </w:p>
        </w:tc>
        <w:tc>
          <w:tcPr>
            <w:tcW w:w="1550" w:type="dxa"/>
            <w:hideMark/>
          </w:tcPr>
          <w:p w14:paraId="1812C6FE"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Deployment and Adoption</w:t>
            </w:r>
          </w:p>
        </w:tc>
        <w:tc>
          <w:tcPr>
            <w:tcW w:w="1890" w:type="dxa"/>
            <w:hideMark/>
          </w:tcPr>
          <w:p w14:paraId="2368C276"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 xml:space="preserve">User training, implementation, </w:t>
            </w:r>
            <w:r w:rsidRPr="00C61908">
              <w:rPr>
                <w:rFonts w:ascii="Times New Roman" w:eastAsia="Times New Roman" w:hAnsi="Times New Roman" w:cs="Times New Roman"/>
                <w:kern w:val="0"/>
                <w14:ligatures w14:val="none"/>
              </w:rPr>
              <w:lastRenderedPageBreak/>
              <w:t>and operational rollout</w:t>
            </w:r>
          </w:p>
        </w:tc>
        <w:tc>
          <w:tcPr>
            <w:tcW w:w="0" w:type="auto"/>
            <w:hideMark/>
          </w:tcPr>
          <w:p w14:paraId="04F8E796"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lastRenderedPageBreak/>
              <w:t>Project Manager</w:t>
            </w:r>
          </w:p>
        </w:tc>
        <w:tc>
          <w:tcPr>
            <w:tcW w:w="1703" w:type="dxa"/>
            <w:hideMark/>
          </w:tcPr>
          <w:p w14:paraId="5BD91A3E"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 xml:space="preserve">User resistance and low </w:t>
            </w:r>
            <w:r w:rsidRPr="00C61908">
              <w:rPr>
                <w:rFonts w:ascii="Times New Roman" w:eastAsia="Times New Roman" w:hAnsi="Times New Roman" w:cs="Times New Roman"/>
                <w:kern w:val="0"/>
                <w14:ligatures w14:val="none"/>
              </w:rPr>
              <w:lastRenderedPageBreak/>
              <w:t>adoption rates</w:t>
            </w:r>
          </w:p>
        </w:tc>
        <w:tc>
          <w:tcPr>
            <w:tcW w:w="1643" w:type="dxa"/>
            <w:hideMark/>
          </w:tcPr>
          <w:p w14:paraId="32D09191"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lastRenderedPageBreak/>
              <w:t>Organizational</w:t>
            </w:r>
          </w:p>
        </w:tc>
        <w:tc>
          <w:tcPr>
            <w:tcW w:w="561" w:type="dxa"/>
            <w:hideMark/>
          </w:tcPr>
          <w:p w14:paraId="066D47BD"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Mitigate</w:t>
            </w:r>
          </w:p>
        </w:tc>
      </w:tr>
      <w:tr w:rsidR="00CB1AFD" w:rsidRPr="00C61908" w14:paraId="284CFD97" w14:textId="77777777" w:rsidTr="00E846C6">
        <w:tc>
          <w:tcPr>
            <w:tcW w:w="750" w:type="dxa"/>
            <w:hideMark/>
          </w:tcPr>
          <w:p w14:paraId="414BC671"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4.0</w:t>
            </w:r>
          </w:p>
        </w:tc>
        <w:tc>
          <w:tcPr>
            <w:tcW w:w="1550" w:type="dxa"/>
            <w:hideMark/>
          </w:tcPr>
          <w:p w14:paraId="1308A403"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Vendor Management</w:t>
            </w:r>
          </w:p>
        </w:tc>
        <w:tc>
          <w:tcPr>
            <w:tcW w:w="1890" w:type="dxa"/>
            <w:hideMark/>
          </w:tcPr>
          <w:p w14:paraId="4D88BB17"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Supplier coordination and contract monitoring</w:t>
            </w:r>
          </w:p>
        </w:tc>
        <w:tc>
          <w:tcPr>
            <w:tcW w:w="0" w:type="auto"/>
            <w:hideMark/>
          </w:tcPr>
          <w:p w14:paraId="117E3D72"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Procurement Lead</w:t>
            </w:r>
          </w:p>
        </w:tc>
        <w:tc>
          <w:tcPr>
            <w:tcW w:w="1703" w:type="dxa"/>
            <w:hideMark/>
          </w:tcPr>
          <w:p w14:paraId="3307FAF5"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Vendor delays and delivery uncertainty</w:t>
            </w:r>
          </w:p>
        </w:tc>
        <w:tc>
          <w:tcPr>
            <w:tcW w:w="1643" w:type="dxa"/>
            <w:hideMark/>
          </w:tcPr>
          <w:p w14:paraId="543359DA"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External</w:t>
            </w:r>
          </w:p>
        </w:tc>
        <w:tc>
          <w:tcPr>
            <w:tcW w:w="561" w:type="dxa"/>
            <w:hideMark/>
          </w:tcPr>
          <w:p w14:paraId="510AD9A9" w14:textId="77777777" w:rsidR="00CB1AFD" w:rsidRPr="00C61908" w:rsidRDefault="00CB1AFD" w:rsidP="00C61908">
            <w:pPr>
              <w:spacing w:line="480" w:lineRule="auto"/>
              <w:rPr>
                <w:rFonts w:ascii="Times New Roman" w:eastAsia="Times New Roman" w:hAnsi="Times New Roman" w:cs="Times New Roman"/>
                <w:kern w:val="0"/>
                <w14:ligatures w14:val="none"/>
              </w:rPr>
            </w:pPr>
            <w:r w:rsidRPr="00C61908">
              <w:rPr>
                <w:rFonts w:ascii="Times New Roman" w:eastAsia="Times New Roman" w:hAnsi="Times New Roman" w:cs="Times New Roman"/>
                <w:kern w:val="0"/>
                <w14:ligatures w14:val="none"/>
              </w:rPr>
              <w:t>Transfer</w:t>
            </w:r>
          </w:p>
        </w:tc>
      </w:tr>
    </w:tbl>
    <w:p w14:paraId="2CA9517D" w14:textId="4A8A5867" w:rsidR="00CB1AFD" w:rsidRPr="00E846C6" w:rsidRDefault="00CB1AFD" w:rsidP="00C61908">
      <w:pPr>
        <w:spacing w:after="0" w:line="480" w:lineRule="auto"/>
        <w:rPr>
          <w:rFonts w:ascii="Times New Roman" w:eastAsia="Times New Roman" w:hAnsi="Times New Roman" w:cs="Times New Roman"/>
          <w:b/>
          <w:bCs/>
          <w:kern w:val="0"/>
          <w14:ligatures w14:val="none"/>
        </w:rPr>
      </w:pPr>
    </w:p>
    <w:p w14:paraId="629F0A3F" w14:textId="3052140B" w:rsidR="006C4FE0" w:rsidRPr="00E846C6" w:rsidRDefault="006C4FE0" w:rsidP="00C61908">
      <w:pPr>
        <w:spacing w:line="480" w:lineRule="auto"/>
        <w:rPr>
          <w:rFonts w:ascii="Times New Roman" w:hAnsi="Times New Roman" w:cs="Times New Roman"/>
          <w:b/>
          <w:bCs/>
        </w:rPr>
      </w:pPr>
      <w:r w:rsidRPr="00E846C6">
        <w:rPr>
          <w:rFonts w:ascii="Times New Roman" w:hAnsi="Times New Roman" w:cs="Times New Roman"/>
          <w:b/>
          <w:bCs/>
        </w:rPr>
        <w:t>Conclusion</w:t>
      </w:r>
    </w:p>
    <w:p w14:paraId="63C7D5D5" w14:textId="0A5910EB" w:rsidR="00896E77" w:rsidRPr="00C61908" w:rsidRDefault="006C4FE0" w:rsidP="00C61908">
      <w:pPr>
        <w:spacing w:line="480" w:lineRule="auto"/>
        <w:ind w:firstLine="720"/>
        <w:rPr>
          <w:rFonts w:ascii="Times New Roman" w:hAnsi="Times New Roman" w:cs="Times New Roman"/>
        </w:rPr>
      </w:pPr>
      <w:r w:rsidRPr="00C61908">
        <w:rPr>
          <w:rFonts w:ascii="Times New Roman" w:hAnsi="Times New Roman" w:cs="Times New Roman"/>
        </w:rPr>
        <w:t>The first and most critical risk response is project planning as it helps teams understand and manage uncertainty before it impacts project performance. The Work Breakdown Structure, stakeholder analysis, and risk registers are among the planning techniques that convert uncertainty into information, define responsibilities, consider potential impacts, and establish response strategies. When risk thinking is integrated into the planning process, organizations achieve project success.</w:t>
      </w:r>
    </w:p>
    <w:p w14:paraId="6BEEB64E" w14:textId="77777777" w:rsidR="00896E77" w:rsidRPr="00C61908" w:rsidRDefault="00896E77" w:rsidP="00C61908">
      <w:pPr>
        <w:spacing w:line="480" w:lineRule="auto"/>
        <w:rPr>
          <w:rFonts w:ascii="Times New Roman" w:hAnsi="Times New Roman" w:cs="Times New Roman"/>
        </w:rPr>
      </w:pPr>
    </w:p>
    <w:p w14:paraId="5FB9F043" w14:textId="77777777" w:rsidR="00896E77" w:rsidRPr="00C61908" w:rsidRDefault="00896E77" w:rsidP="00C61908">
      <w:pPr>
        <w:spacing w:line="480" w:lineRule="auto"/>
        <w:rPr>
          <w:rFonts w:ascii="Times New Roman" w:hAnsi="Times New Roman" w:cs="Times New Roman"/>
        </w:rPr>
      </w:pPr>
    </w:p>
    <w:p w14:paraId="57E594D2" w14:textId="77777777" w:rsidR="00896E77" w:rsidRPr="00C61908" w:rsidRDefault="00896E77" w:rsidP="00C61908">
      <w:pPr>
        <w:spacing w:line="480" w:lineRule="auto"/>
        <w:rPr>
          <w:rFonts w:ascii="Times New Roman" w:hAnsi="Times New Roman" w:cs="Times New Roman"/>
        </w:rPr>
      </w:pPr>
    </w:p>
    <w:p w14:paraId="6DAB58A7" w14:textId="77777777" w:rsidR="00C81F9E" w:rsidRDefault="00C81F9E" w:rsidP="00C61908">
      <w:pPr>
        <w:spacing w:line="480" w:lineRule="auto"/>
        <w:rPr>
          <w:rFonts w:ascii="Times New Roman" w:hAnsi="Times New Roman" w:cs="Times New Roman"/>
        </w:rPr>
      </w:pPr>
    </w:p>
    <w:p w14:paraId="7076A970" w14:textId="77777777" w:rsidR="007D1EF6" w:rsidRDefault="007D1EF6" w:rsidP="00C61908">
      <w:pPr>
        <w:spacing w:line="480" w:lineRule="auto"/>
        <w:rPr>
          <w:rFonts w:ascii="Times New Roman" w:hAnsi="Times New Roman" w:cs="Times New Roman"/>
        </w:rPr>
      </w:pPr>
    </w:p>
    <w:p w14:paraId="5B958FAB" w14:textId="77777777" w:rsidR="007D1EF6" w:rsidRDefault="007D1EF6" w:rsidP="00C61908">
      <w:pPr>
        <w:spacing w:line="480" w:lineRule="auto"/>
        <w:rPr>
          <w:rFonts w:ascii="Times New Roman" w:hAnsi="Times New Roman" w:cs="Times New Roman"/>
        </w:rPr>
      </w:pPr>
    </w:p>
    <w:p w14:paraId="36D0951C" w14:textId="77777777" w:rsidR="007D1EF6" w:rsidRPr="00C61908" w:rsidRDefault="007D1EF6" w:rsidP="00C61908">
      <w:pPr>
        <w:spacing w:line="480" w:lineRule="auto"/>
        <w:rPr>
          <w:rFonts w:ascii="Times New Roman" w:hAnsi="Times New Roman" w:cs="Times New Roman"/>
        </w:rPr>
      </w:pPr>
    </w:p>
    <w:p w14:paraId="4BEC8F25" w14:textId="77777777" w:rsidR="00C81F9E" w:rsidRPr="00C61908" w:rsidRDefault="00C81F9E" w:rsidP="007D1EF6">
      <w:pPr>
        <w:spacing w:line="480" w:lineRule="auto"/>
        <w:jc w:val="center"/>
        <w:rPr>
          <w:rFonts w:ascii="Times New Roman" w:hAnsi="Times New Roman" w:cs="Times New Roman"/>
          <w:b/>
          <w:bCs/>
        </w:rPr>
      </w:pPr>
      <w:r w:rsidRPr="00C61908">
        <w:rPr>
          <w:rFonts w:ascii="Times New Roman" w:hAnsi="Times New Roman" w:cs="Times New Roman"/>
          <w:b/>
          <w:bCs/>
        </w:rPr>
        <w:lastRenderedPageBreak/>
        <w:t>References</w:t>
      </w:r>
    </w:p>
    <w:p w14:paraId="4C523684" w14:textId="77777777" w:rsidR="00CB5931" w:rsidRPr="00C61908" w:rsidRDefault="00CB5931" w:rsidP="00C61908">
      <w:pPr>
        <w:spacing w:line="480" w:lineRule="auto"/>
        <w:ind w:left="720" w:hanging="720"/>
        <w:rPr>
          <w:rFonts w:ascii="Times New Roman" w:hAnsi="Times New Roman" w:cs="Times New Roman"/>
        </w:rPr>
      </w:pPr>
      <w:r w:rsidRPr="00C61908">
        <w:rPr>
          <w:rFonts w:ascii="Times New Roman" w:hAnsi="Times New Roman" w:cs="Times New Roman"/>
        </w:rPr>
        <w:t xml:space="preserve">Aven, T. (2020). Risk assessment and risk management: Review of recent advances on their foundation. </w:t>
      </w:r>
      <w:r w:rsidRPr="00C61908">
        <w:rPr>
          <w:rFonts w:ascii="Times New Roman" w:hAnsi="Times New Roman" w:cs="Times New Roman"/>
          <w:i/>
          <w:iCs/>
        </w:rPr>
        <w:t>European Journal of Operational Research, 285</w:t>
      </w:r>
      <w:r w:rsidRPr="00C61908">
        <w:rPr>
          <w:rFonts w:ascii="Times New Roman" w:hAnsi="Times New Roman" w:cs="Times New Roman"/>
        </w:rPr>
        <w:t xml:space="preserve">(1), 1–13. </w:t>
      </w:r>
      <w:hyperlink r:id="rId7" w:history="1">
        <w:r w:rsidRPr="00C61908">
          <w:rPr>
            <w:rStyle w:val="Hyperlink"/>
            <w:rFonts w:ascii="Times New Roman" w:hAnsi="Times New Roman" w:cs="Times New Roman"/>
          </w:rPr>
          <w:t>https://doi.org/10.1016/j.ejor.2019.09.036</w:t>
        </w:r>
      </w:hyperlink>
    </w:p>
    <w:p w14:paraId="09024843" w14:textId="77777777" w:rsidR="00CB5931" w:rsidRPr="00C61908" w:rsidRDefault="00CB5931" w:rsidP="00C61908">
      <w:pPr>
        <w:spacing w:line="480" w:lineRule="auto"/>
        <w:ind w:left="720" w:hanging="720"/>
        <w:rPr>
          <w:rFonts w:ascii="Times New Roman" w:hAnsi="Times New Roman" w:cs="Times New Roman"/>
        </w:rPr>
      </w:pPr>
      <w:r w:rsidRPr="00C61908">
        <w:rPr>
          <w:rFonts w:ascii="Times New Roman" w:hAnsi="Times New Roman" w:cs="Times New Roman"/>
        </w:rPr>
        <w:t xml:space="preserve">International Organization for Standardization. (2018). </w:t>
      </w:r>
      <w:r w:rsidRPr="00C61908">
        <w:rPr>
          <w:rFonts w:ascii="Times New Roman" w:hAnsi="Times New Roman" w:cs="Times New Roman"/>
          <w:i/>
          <w:iCs/>
        </w:rPr>
        <w:t>ISO 31000:2018 risk management—Guidelines</w:t>
      </w:r>
      <w:r w:rsidRPr="00C61908">
        <w:rPr>
          <w:rFonts w:ascii="Times New Roman" w:hAnsi="Times New Roman" w:cs="Times New Roman"/>
        </w:rPr>
        <w:t>. International Organization for Standardization.</w:t>
      </w:r>
    </w:p>
    <w:p w14:paraId="379AF1CE" w14:textId="77777777" w:rsidR="00CB5931" w:rsidRPr="00C61908" w:rsidRDefault="00CB5931" w:rsidP="00C61908">
      <w:pPr>
        <w:spacing w:line="480" w:lineRule="auto"/>
        <w:ind w:left="720" w:hanging="720"/>
        <w:rPr>
          <w:rFonts w:ascii="Times New Roman" w:hAnsi="Times New Roman" w:cs="Times New Roman"/>
        </w:rPr>
      </w:pPr>
      <w:r w:rsidRPr="00C61908">
        <w:rPr>
          <w:rFonts w:ascii="Times New Roman" w:hAnsi="Times New Roman" w:cs="Times New Roman"/>
        </w:rPr>
        <w:t xml:space="preserve">Kendrick, T. (2015). </w:t>
      </w:r>
      <w:r w:rsidRPr="00C61908">
        <w:rPr>
          <w:rFonts w:ascii="Times New Roman" w:hAnsi="Times New Roman" w:cs="Times New Roman"/>
          <w:i/>
          <w:iCs/>
        </w:rPr>
        <w:t>Identifying and managing project risk: Essential tools for failure-proofing your project</w:t>
      </w:r>
      <w:r w:rsidRPr="00C61908">
        <w:rPr>
          <w:rFonts w:ascii="Times New Roman" w:hAnsi="Times New Roman" w:cs="Times New Roman"/>
        </w:rPr>
        <w:t xml:space="preserve"> (3rd ed.). AMACOM.</w:t>
      </w:r>
    </w:p>
    <w:p w14:paraId="4E3B3FE8" w14:textId="18167E12" w:rsidR="00CB5931" w:rsidRPr="00C61908" w:rsidRDefault="00CB5931" w:rsidP="00C61908">
      <w:pPr>
        <w:spacing w:line="480" w:lineRule="auto"/>
        <w:ind w:left="720" w:hanging="720"/>
        <w:rPr>
          <w:rFonts w:ascii="Times New Roman" w:hAnsi="Times New Roman" w:cs="Times New Roman"/>
        </w:rPr>
      </w:pPr>
      <w:r w:rsidRPr="00C61908">
        <w:rPr>
          <w:rFonts w:ascii="Times New Roman" w:hAnsi="Times New Roman" w:cs="Times New Roman"/>
        </w:rPr>
        <w:t>Marcelino-</w:t>
      </w:r>
      <w:proofErr w:type="spellStart"/>
      <w:r w:rsidRPr="00C61908">
        <w:rPr>
          <w:rFonts w:ascii="Times New Roman" w:hAnsi="Times New Roman" w:cs="Times New Roman"/>
        </w:rPr>
        <w:t>Sádaba</w:t>
      </w:r>
      <w:proofErr w:type="spellEnd"/>
      <w:r w:rsidRPr="00C61908">
        <w:rPr>
          <w:rFonts w:ascii="Times New Roman" w:hAnsi="Times New Roman" w:cs="Times New Roman"/>
        </w:rPr>
        <w:t>, S., Pérez-</w:t>
      </w:r>
      <w:proofErr w:type="spellStart"/>
      <w:r w:rsidRPr="00C61908">
        <w:rPr>
          <w:rFonts w:ascii="Times New Roman" w:hAnsi="Times New Roman" w:cs="Times New Roman"/>
        </w:rPr>
        <w:t>Ezcurdia</w:t>
      </w:r>
      <w:proofErr w:type="spellEnd"/>
      <w:r w:rsidRPr="00C61908">
        <w:rPr>
          <w:rFonts w:ascii="Times New Roman" w:hAnsi="Times New Roman" w:cs="Times New Roman"/>
        </w:rPr>
        <w:t xml:space="preserve">, A., Echeverría Lazcano, A. M., &amp; Villanueva, P. (2020). Project risk management methodology for small firms. </w:t>
      </w:r>
      <w:r w:rsidRPr="00C61908">
        <w:rPr>
          <w:rFonts w:ascii="Times New Roman" w:hAnsi="Times New Roman" w:cs="Times New Roman"/>
          <w:i/>
          <w:iCs/>
        </w:rPr>
        <w:t>International Journal of Project Management, 38</w:t>
      </w:r>
      <w:r w:rsidRPr="00C61908">
        <w:rPr>
          <w:rFonts w:ascii="Times New Roman" w:hAnsi="Times New Roman" w:cs="Times New Roman"/>
        </w:rPr>
        <w:t>(3), 141–153.</w:t>
      </w:r>
      <w:r w:rsidR="007D1EF6">
        <w:rPr>
          <w:rFonts w:ascii="Times New Roman" w:hAnsi="Times New Roman" w:cs="Times New Roman"/>
        </w:rPr>
        <w:t xml:space="preserve"> </w:t>
      </w:r>
      <w:hyperlink r:id="rId8" w:history="1">
        <w:r w:rsidR="007D1EF6" w:rsidRPr="00A5427F">
          <w:rPr>
            <w:rStyle w:val="Hyperlink"/>
            <w:rFonts w:ascii="Times New Roman" w:hAnsi="Times New Roman" w:cs="Times New Roman"/>
          </w:rPr>
          <w:t>https://www.researchgate.net/publication/259512541_Project_risk_management_methodology_for_small_firms</w:t>
        </w:r>
      </w:hyperlink>
      <w:r w:rsidR="007D1EF6">
        <w:rPr>
          <w:rFonts w:ascii="Times New Roman" w:hAnsi="Times New Roman" w:cs="Times New Roman"/>
        </w:rPr>
        <w:t xml:space="preserve"> </w:t>
      </w:r>
    </w:p>
    <w:p w14:paraId="520F797A" w14:textId="77777777" w:rsidR="00CB5931" w:rsidRPr="00C61908" w:rsidRDefault="00CB5931" w:rsidP="00C61908">
      <w:pPr>
        <w:spacing w:line="480" w:lineRule="auto"/>
        <w:ind w:left="720" w:hanging="720"/>
        <w:rPr>
          <w:rFonts w:ascii="Times New Roman" w:hAnsi="Times New Roman" w:cs="Times New Roman"/>
        </w:rPr>
      </w:pPr>
      <w:r w:rsidRPr="00C61908">
        <w:rPr>
          <w:rFonts w:ascii="Times New Roman" w:hAnsi="Times New Roman" w:cs="Times New Roman"/>
        </w:rPr>
        <w:t xml:space="preserve">Project Management Institute. (2021). </w:t>
      </w:r>
      <w:r w:rsidRPr="00C61908">
        <w:rPr>
          <w:rFonts w:ascii="Times New Roman" w:hAnsi="Times New Roman" w:cs="Times New Roman"/>
          <w:i/>
          <w:iCs/>
        </w:rPr>
        <w:t>A guide to the project management body of knowledge (PMBOK® Guide)</w:t>
      </w:r>
      <w:r w:rsidRPr="00C61908">
        <w:rPr>
          <w:rFonts w:ascii="Times New Roman" w:hAnsi="Times New Roman" w:cs="Times New Roman"/>
        </w:rPr>
        <w:t xml:space="preserve"> (7th ed.). Project Management Institute.</w:t>
      </w:r>
    </w:p>
    <w:p w14:paraId="77D7EE7B" w14:textId="77777777" w:rsidR="00C81F9E" w:rsidRPr="00C61908" w:rsidRDefault="00C81F9E" w:rsidP="00C61908">
      <w:pPr>
        <w:spacing w:line="480" w:lineRule="auto"/>
        <w:rPr>
          <w:rFonts w:ascii="Times New Roman" w:hAnsi="Times New Roman" w:cs="Times New Roman"/>
        </w:rPr>
      </w:pPr>
    </w:p>
    <w:sectPr w:rsidR="00C81F9E" w:rsidRPr="00C6190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095EE" w14:textId="77777777" w:rsidR="00EB78D7" w:rsidRDefault="00EB78D7" w:rsidP="00461887">
      <w:pPr>
        <w:spacing w:after="0" w:line="240" w:lineRule="auto"/>
      </w:pPr>
      <w:r>
        <w:separator/>
      </w:r>
    </w:p>
  </w:endnote>
  <w:endnote w:type="continuationSeparator" w:id="0">
    <w:p w14:paraId="02F5BFB7" w14:textId="77777777" w:rsidR="00EB78D7" w:rsidRDefault="00EB78D7" w:rsidP="004618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4A5FD" w14:textId="77777777" w:rsidR="00EB78D7" w:rsidRDefault="00EB78D7" w:rsidP="00461887">
      <w:pPr>
        <w:spacing w:after="0" w:line="240" w:lineRule="auto"/>
      </w:pPr>
      <w:r>
        <w:separator/>
      </w:r>
    </w:p>
  </w:footnote>
  <w:footnote w:type="continuationSeparator" w:id="0">
    <w:p w14:paraId="1BCF1865" w14:textId="77777777" w:rsidR="00EB78D7" w:rsidRDefault="00EB78D7" w:rsidP="004618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9174261"/>
      <w:docPartObj>
        <w:docPartGallery w:val="Page Numbers (Top of Page)"/>
        <w:docPartUnique/>
      </w:docPartObj>
    </w:sdtPr>
    <w:sdtEndPr>
      <w:rPr>
        <w:noProof/>
      </w:rPr>
    </w:sdtEndPr>
    <w:sdtContent>
      <w:p w14:paraId="51E08835" w14:textId="1F6820BD" w:rsidR="00461887" w:rsidRDefault="0046188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094F602" w14:textId="77777777" w:rsidR="00461887" w:rsidRDefault="004618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69E3"/>
    <w:multiLevelType w:val="multilevel"/>
    <w:tmpl w:val="F59A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C11C0"/>
    <w:multiLevelType w:val="multilevel"/>
    <w:tmpl w:val="350E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A4524"/>
    <w:multiLevelType w:val="multilevel"/>
    <w:tmpl w:val="95D6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714EC"/>
    <w:multiLevelType w:val="multilevel"/>
    <w:tmpl w:val="C1DC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12FC3"/>
    <w:multiLevelType w:val="multilevel"/>
    <w:tmpl w:val="F07C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079E5"/>
    <w:multiLevelType w:val="multilevel"/>
    <w:tmpl w:val="3846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A6264"/>
    <w:multiLevelType w:val="multilevel"/>
    <w:tmpl w:val="E4C2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20D1D"/>
    <w:multiLevelType w:val="multilevel"/>
    <w:tmpl w:val="ACBE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C10DE"/>
    <w:multiLevelType w:val="multilevel"/>
    <w:tmpl w:val="7C7E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94068"/>
    <w:multiLevelType w:val="multilevel"/>
    <w:tmpl w:val="4A54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E2536"/>
    <w:multiLevelType w:val="multilevel"/>
    <w:tmpl w:val="7BD8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472F3"/>
    <w:multiLevelType w:val="multilevel"/>
    <w:tmpl w:val="541E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F53C64"/>
    <w:multiLevelType w:val="multilevel"/>
    <w:tmpl w:val="15B0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C35BA"/>
    <w:multiLevelType w:val="multilevel"/>
    <w:tmpl w:val="9802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A7DCF"/>
    <w:multiLevelType w:val="multilevel"/>
    <w:tmpl w:val="9620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7852DF"/>
    <w:multiLevelType w:val="multilevel"/>
    <w:tmpl w:val="0696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A010AB"/>
    <w:multiLevelType w:val="multilevel"/>
    <w:tmpl w:val="6B26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F70AA7"/>
    <w:multiLevelType w:val="multilevel"/>
    <w:tmpl w:val="C54E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E251EB"/>
    <w:multiLevelType w:val="multilevel"/>
    <w:tmpl w:val="FA7C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167C92"/>
    <w:multiLevelType w:val="multilevel"/>
    <w:tmpl w:val="822E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167F16"/>
    <w:multiLevelType w:val="multilevel"/>
    <w:tmpl w:val="86CC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E30F7A"/>
    <w:multiLevelType w:val="multilevel"/>
    <w:tmpl w:val="FFF0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2F575D"/>
    <w:multiLevelType w:val="multilevel"/>
    <w:tmpl w:val="C4D6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BA0888"/>
    <w:multiLevelType w:val="multilevel"/>
    <w:tmpl w:val="DA06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FC7EF3"/>
    <w:multiLevelType w:val="multilevel"/>
    <w:tmpl w:val="EB84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79012A"/>
    <w:multiLevelType w:val="multilevel"/>
    <w:tmpl w:val="B9C4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C72376"/>
    <w:multiLevelType w:val="multilevel"/>
    <w:tmpl w:val="3EF8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9B6619"/>
    <w:multiLevelType w:val="multilevel"/>
    <w:tmpl w:val="45C8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841910"/>
    <w:multiLevelType w:val="multilevel"/>
    <w:tmpl w:val="6FAA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CA6164"/>
    <w:multiLevelType w:val="multilevel"/>
    <w:tmpl w:val="F35C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295C9F"/>
    <w:multiLevelType w:val="multilevel"/>
    <w:tmpl w:val="1C96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1A1C21"/>
    <w:multiLevelType w:val="multilevel"/>
    <w:tmpl w:val="BDE2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911F30"/>
    <w:multiLevelType w:val="multilevel"/>
    <w:tmpl w:val="7A5A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5B7062"/>
    <w:multiLevelType w:val="multilevel"/>
    <w:tmpl w:val="4B8C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AD4E86"/>
    <w:multiLevelType w:val="multilevel"/>
    <w:tmpl w:val="5AD8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D64172"/>
    <w:multiLevelType w:val="multilevel"/>
    <w:tmpl w:val="0834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066CD3"/>
    <w:multiLevelType w:val="multilevel"/>
    <w:tmpl w:val="47D6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78292D"/>
    <w:multiLevelType w:val="multilevel"/>
    <w:tmpl w:val="A334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001B9D"/>
    <w:multiLevelType w:val="multilevel"/>
    <w:tmpl w:val="6C3C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B657BB"/>
    <w:multiLevelType w:val="multilevel"/>
    <w:tmpl w:val="BF86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D13FAC"/>
    <w:multiLevelType w:val="multilevel"/>
    <w:tmpl w:val="BEDE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0F16DA"/>
    <w:multiLevelType w:val="multilevel"/>
    <w:tmpl w:val="B8D8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E12CC9"/>
    <w:multiLevelType w:val="multilevel"/>
    <w:tmpl w:val="A550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947184">
    <w:abstractNumId w:val="38"/>
  </w:num>
  <w:num w:numId="2" w16cid:durableId="812721286">
    <w:abstractNumId w:val="25"/>
  </w:num>
  <w:num w:numId="3" w16cid:durableId="510140686">
    <w:abstractNumId w:val="36"/>
  </w:num>
  <w:num w:numId="4" w16cid:durableId="1366755589">
    <w:abstractNumId w:val="29"/>
  </w:num>
  <w:num w:numId="5" w16cid:durableId="801967368">
    <w:abstractNumId w:val="16"/>
  </w:num>
  <w:num w:numId="6" w16cid:durableId="2035301251">
    <w:abstractNumId w:val="4"/>
  </w:num>
  <w:num w:numId="7" w16cid:durableId="825709436">
    <w:abstractNumId w:val="26"/>
  </w:num>
  <w:num w:numId="8" w16cid:durableId="230624303">
    <w:abstractNumId w:val="2"/>
  </w:num>
  <w:num w:numId="9" w16cid:durableId="1674257541">
    <w:abstractNumId w:val="11"/>
  </w:num>
  <w:num w:numId="10" w16cid:durableId="1222131263">
    <w:abstractNumId w:val="14"/>
  </w:num>
  <w:num w:numId="11" w16cid:durableId="1321541414">
    <w:abstractNumId w:val="20"/>
  </w:num>
  <w:num w:numId="12" w16cid:durableId="1738435922">
    <w:abstractNumId w:val="21"/>
  </w:num>
  <w:num w:numId="13" w16cid:durableId="1786148041">
    <w:abstractNumId w:val="18"/>
  </w:num>
  <w:num w:numId="14" w16cid:durableId="1205142367">
    <w:abstractNumId w:val="3"/>
  </w:num>
  <w:num w:numId="15" w16cid:durableId="29302106">
    <w:abstractNumId w:val="0"/>
  </w:num>
  <w:num w:numId="16" w16cid:durableId="1353455067">
    <w:abstractNumId w:val="27"/>
  </w:num>
  <w:num w:numId="17" w16cid:durableId="1565605673">
    <w:abstractNumId w:val="8"/>
  </w:num>
  <w:num w:numId="18" w16cid:durableId="1768622333">
    <w:abstractNumId w:val="31"/>
  </w:num>
  <w:num w:numId="19" w16cid:durableId="656955371">
    <w:abstractNumId w:val="40"/>
  </w:num>
  <w:num w:numId="20" w16cid:durableId="104467723">
    <w:abstractNumId w:val="7"/>
  </w:num>
  <w:num w:numId="21" w16cid:durableId="2138646839">
    <w:abstractNumId w:val="12"/>
  </w:num>
  <w:num w:numId="22" w16cid:durableId="1948267725">
    <w:abstractNumId w:val="32"/>
  </w:num>
  <w:num w:numId="23" w16cid:durableId="187184863">
    <w:abstractNumId w:val="34"/>
  </w:num>
  <w:num w:numId="24" w16cid:durableId="1917661580">
    <w:abstractNumId w:val="24"/>
  </w:num>
  <w:num w:numId="25" w16cid:durableId="380053485">
    <w:abstractNumId w:val="1"/>
  </w:num>
  <w:num w:numId="26" w16cid:durableId="682634506">
    <w:abstractNumId w:val="35"/>
  </w:num>
  <w:num w:numId="27" w16cid:durableId="11494312">
    <w:abstractNumId w:val="10"/>
  </w:num>
  <w:num w:numId="28" w16cid:durableId="439767063">
    <w:abstractNumId w:val="39"/>
  </w:num>
  <w:num w:numId="29" w16cid:durableId="36204128">
    <w:abstractNumId w:val="22"/>
  </w:num>
  <w:num w:numId="30" w16cid:durableId="1702632713">
    <w:abstractNumId w:val="15"/>
  </w:num>
  <w:num w:numId="31" w16cid:durableId="1672559456">
    <w:abstractNumId w:val="13"/>
  </w:num>
  <w:num w:numId="32" w16cid:durableId="35935465">
    <w:abstractNumId w:val="6"/>
  </w:num>
  <w:num w:numId="33" w16cid:durableId="1224872858">
    <w:abstractNumId w:val="23"/>
  </w:num>
  <w:num w:numId="34" w16cid:durableId="1578324533">
    <w:abstractNumId w:val="17"/>
  </w:num>
  <w:num w:numId="35" w16cid:durableId="1901019951">
    <w:abstractNumId w:val="42"/>
  </w:num>
  <w:num w:numId="36" w16cid:durableId="1633443385">
    <w:abstractNumId w:val="5"/>
  </w:num>
  <w:num w:numId="37" w16cid:durableId="1270311710">
    <w:abstractNumId w:val="41"/>
  </w:num>
  <w:num w:numId="38" w16cid:durableId="526915199">
    <w:abstractNumId w:val="19"/>
  </w:num>
  <w:num w:numId="39" w16cid:durableId="2007857375">
    <w:abstractNumId w:val="30"/>
  </w:num>
  <w:num w:numId="40" w16cid:durableId="216934916">
    <w:abstractNumId w:val="33"/>
  </w:num>
  <w:num w:numId="41" w16cid:durableId="236018356">
    <w:abstractNumId w:val="28"/>
  </w:num>
  <w:num w:numId="42" w16cid:durableId="469514401">
    <w:abstractNumId w:val="37"/>
  </w:num>
  <w:num w:numId="43" w16cid:durableId="2825364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F9E"/>
    <w:rsid w:val="00112B87"/>
    <w:rsid w:val="002612EF"/>
    <w:rsid w:val="00461887"/>
    <w:rsid w:val="0049319D"/>
    <w:rsid w:val="005303B7"/>
    <w:rsid w:val="00594311"/>
    <w:rsid w:val="00654C8C"/>
    <w:rsid w:val="006C4FE0"/>
    <w:rsid w:val="006E2261"/>
    <w:rsid w:val="00743E92"/>
    <w:rsid w:val="007D1EF6"/>
    <w:rsid w:val="00853A33"/>
    <w:rsid w:val="00896E77"/>
    <w:rsid w:val="008E5BE1"/>
    <w:rsid w:val="0091355B"/>
    <w:rsid w:val="00A66F49"/>
    <w:rsid w:val="00AD6161"/>
    <w:rsid w:val="00B0528A"/>
    <w:rsid w:val="00C61908"/>
    <w:rsid w:val="00C81F9E"/>
    <w:rsid w:val="00CB1AFD"/>
    <w:rsid w:val="00CB5931"/>
    <w:rsid w:val="00D12DD0"/>
    <w:rsid w:val="00E846C6"/>
    <w:rsid w:val="00EA5439"/>
    <w:rsid w:val="00EB78D7"/>
    <w:rsid w:val="00FF2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E5B47"/>
  <w15:chartTrackingRefBased/>
  <w15:docId w15:val="{865A465E-ED7A-480A-B51C-BB7A04FD9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F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1F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1F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1F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1F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1F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F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F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F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F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1F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1F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1F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1F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1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F9E"/>
    <w:rPr>
      <w:rFonts w:eastAsiaTheme="majorEastAsia" w:cstheme="majorBidi"/>
      <w:color w:val="272727" w:themeColor="text1" w:themeTint="D8"/>
    </w:rPr>
  </w:style>
  <w:style w:type="paragraph" w:styleId="Title">
    <w:name w:val="Title"/>
    <w:basedOn w:val="Normal"/>
    <w:next w:val="Normal"/>
    <w:link w:val="TitleChar"/>
    <w:uiPriority w:val="10"/>
    <w:qFormat/>
    <w:rsid w:val="00C81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F9E"/>
    <w:pPr>
      <w:spacing w:before="160"/>
      <w:jc w:val="center"/>
    </w:pPr>
    <w:rPr>
      <w:i/>
      <w:iCs/>
      <w:color w:val="404040" w:themeColor="text1" w:themeTint="BF"/>
    </w:rPr>
  </w:style>
  <w:style w:type="character" w:customStyle="1" w:styleId="QuoteChar">
    <w:name w:val="Quote Char"/>
    <w:basedOn w:val="DefaultParagraphFont"/>
    <w:link w:val="Quote"/>
    <w:uiPriority w:val="29"/>
    <w:rsid w:val="00C81F9E"/>
    <w:rPr>
      <w:i/>
      <w:iCs/>
      <w:color w:val="404040" w:themeColor="text1" w:themeTint="BF"/>
    </w:rPr>
  </w:style>
  <w:style w:type="paragraph" w:styleId="ListParagraph">
    <w:name w:val="List Paragraph"/>
    <w:basedOn w:val="Normal"/>
    <w:uiPriority w:val="34"/>
    <w:qFormat/>
    <w:rsid w:val="00C81F9E"/>
    <w:pPr>
      <w:ind w:left="720"/>
      <w:contextualSpacing/>
    </w:pPr>
  </w:style>
  <w:style w:type="character" w:styleId="IntenseEmphasis">
    <w:name w:val="Intense Emphasis"/>
    <w:basedOn w:val="DefaultParagraphFont"/>
    <w:uiPriority w:val="21"/>
    <w:qFormat/>
    <w:rsid w:val="00C81F9E"/>
    <w:rPr>
      <w:i/>
      <w:iCs/>
      <w:color w:val="2F5496" w:themeColor="accent1" w:themeShade="BF"/>
    </w:rPr>
  </w:style>
  <w:style w:type="paragraph" w:styleId="IntenseQuote">
    <w:name w:val="Intense Quote"/>
    <w:basedOn w:val="Normal"/>
    <w:next w:val="Normal"/>
    <w:link w:val="IntenseQuoteChar"/>
    <w:uiPriority w:val="30"/>
    <w:qFormat/>
    <w:rsid w:val="00C81F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1F9E"/>
    <w:rPr>
      <w:i/>
      <w:iCs/>
      <w:color w:val="2F5496" w:themeColor="accent1" w:themeShade="BF"/>
    </w:rPr>
  </w:style>
  <w:style w:type="character" w:styleId="IntenseReference">
    <w:name w:val="Intense Reference"/>
    <w:basedOn w:val="DefaultParagraphFont"/>
    <w:uiPriority w:val="32"/>
    <w:qFormat/>
    <w:rsid w:val="00C81F9E"/>
    <w:rPr>
      <w:b/>
      <w:bCs/>
      <w:smallCaps/>
      <w:color w:val="2F5496" w:themeColor="accent1" w:themeShade="BF"/>
      <w:spacing w:val="5"/>
    </w:rPr>
  </w:style>
  <w:style w:type="character" w:styleId="Hyperlink">
    <w:name w:val="Hyperlink"/>
    <w:basedOn w:val="DefaultParagraphFont"/>
    <w:uiPriority w:val="99"/>
    <w:unhideWhenUsed/>
    <w:rsid w:val="00C81F9E"/>
    <w:rPr>
      <w:color w:val="0563C1" w:themeColor="hyperlink"/>
      <w:u w:val="single"/>
    </w:rPr>
  </w:style>
  <w:style w:type="character" w:styleId="UnresolvedMention">
    <w:name w:val="Unresolved Mention"/>
    <w:basedOn w:val="DefaultParagraphFont"/>
    <w:uiPriority w:val="99"/>
    <w:semiHidden/>
    <w:unhideWhenUsed/>
    <w:rsid w:val="00C81F9E"/>
    <w:rPr>
      <w:color w:val="605E5C"/>
      <w:shd w:val="clear" w:color="auto" w:fill="E1DFDD"/>
    </w:rPr>
  </w:style>
  <w:style w:type="table" w:styleId="TableGrid">
    <w:name w:val="Table Grid"/>
    <w:basedOn w:val="TableNormal"/>
    <w:uiPriority w:val="39"/>
    <w:rsid w:val="00A66F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18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1887"/>
  </w:style>
  <w:style w:type="paragraph" w:styleId="Footer">
    <w:name w:val="footer"/>
    <w:basedOn w:val="Normal"/>
    <w:link w:val="FooterChar"/>
    <w:uiPriority w:val="99"/>
    <w:unhideWhenUsed/>
    <w:rsid w:val="004618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18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259512541_Project_risk_management_methodology_for_small_firms" TargetMode="External"/><Relationship Id="rId3" Type="http://schemas.openxmlformats.org/officeDocument/2006/relationships/settings" Target="settings.xml"/><Relationship Id="rId7" Type="http://schemas.openxmlformats.org/officeDocument/2006/relationships/hyperlink" Target="https://doi.org/10.1016/j.ejor.2019.09.03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2524</TotalTime>
  <Pages>12</Pages>
  <Words>2471</Words>
  <Characters>14086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cp:keywords/>
  <dc:description/>
  <cp:lastModifiedBy>HomePC</cp:lastModifiedBy>
  <cp:revision>86</cp:revision>
  <dcterms:created xsi:type="dcterms:W3CDTF">2026-09-14T06:17:00Z</dcterms:created>
  <dcterms:modified xsi:type="dcterms:W3CDTF">2026-09-16T00:21:00Z</dcterms:modified>
</cp:coreProperties>
</file>