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0.11  2026年10月18日  PostgreSQL持久化与网页历史恢复已验收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业务库切换PostgreSQL；HTTP Agent由lifespan注入PostgresSaver，连接覆盖服务期间。历史列表与消息GET先验身份和归属，get_state读取，不执行模型。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工单保存用户、可空订单、摘要、原因、来源、会话与待处理状态。仅保存返回编号；超时不等于写入失败，不自动重试，工单幂等和同会话并发仍待补。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签收后七天规则已有，运费缺。摘要仅设计：保留原文，预计输入超过12000触发，目标约8000，摘要1000、近期参考4000及四轮；需留输出空间，尚未编码。长期记忆及部署待补，向量库另做手册RAG。</w:t>
      </w:r>
    </w:p>
    <w:p>
      <w:r>
        <w:t>用户实测业务库、重启续聊、本人列表与历史、越权404及网页隔离和选择历史。34项Python、八组Node及临时PG跨进程检查通过；移动端与完整异常场景未新增实测。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