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0.8  2026年10月15日  单轮执行已提取  网页与工具身份迁移待续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第一版包含登录、本人订单、制度问答、会话隔离、办理入口及人工工单；退货演示页已可登录查本人订单，统一登录与聊天页待补。不执行真实退款或自动提交售后，不做完整商家后台与多商家系统。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五项工具已注册。AgentContext已从main经单轮函数传到invoke；工具仍使用build_agent创建时凭证，尚未切换为运行时读取。多用户共用前须完成身份及会话隔离。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工单保存所属用户、可空订单号、摘要、原因、来源、会话编号与待处理状态。先保存必要摘要；历史读取及会话归属待补。第一版只保存并返回编号，不做人工操作台，不代表已接听或已解决；失败明确告知。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普通完好商品签收后七天可申请；运费规则仍缺。待接网页登录/聊天、工具运行时身份、会话归属/持久化及压缩、幂等；向量库放第二个手册RAG，长期记忆选做。</w:t>
      </w:r>
    </w:p>
    <w:p>
      <w:r>
        <w:t>登录错误提示、耗时和本轮token合计有学习者实测；25项离线检查通过。统计仅含已报告用量，费用换算未做，结构化业务验收表暂缓。无真实退款或人工接听。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