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顾客售后助手第一版需求与验收</w:t>
      </w:r>
    </w:p>
    <w:p>
      <w:pPr/>
      <w:r>
        <w:t>版本 0.2  2026年10月9日  业务范围已确认  本文描述目标行为 尚未实现</w:t>
      </w:r>
    </w:p>
    <w:p>
      <w:r>
        <w:t>目标是让单个虚构商家的顾客了解本人订单的售后处理条件，获得正确办理入口；无法确定时留下可追踪的人工工单。采用模拟订单接口与示例制度，不宣称真实企业接入。</w:t>
      </w:r>
    </w:p>
    <w:p>
      <w:pPr>
        <w:pStyle w:val="Heading1"/>
      </w:pPr>
      <w:r>
        <w:t>范围与业务流程</w:t>
      </w:r>
    </w:p>
    <w:p>
      <w:r>
        <w:t>第一版包含测试账号登录、本人订单查询、制度问答、会话隔离、办理入口引导及人工工单。先覆盖已发货订单的退款咨询，再扩展地址修改。真实退款、Agent 自动提交售后申请、完整商家后台和多商家系统不在本版范围。</w:t>
      </w:r>
    </w:p>
    <w:p>
      <w:r>
        <w:t>身份验证 → 定位本人订单 → 多笔候选时让顾客选择 → 查询订单事实与适用制度 → 缺信息先追问 → 依据充分则解释条件并提供入口；仍无法判断则告知并创建人工工单。</w:t>
      </w:r>
    </w:p>
    <w:p>
      <w:r>
        <w:t>Agent 工具分为查询候选订单、查询订单详情、检索售后制度、创建人工工单；前三类读取资料，工单工具写入记录。用户身份和访问范围由后端确定。</w:t>
      </w:r>
    </w:p>
    <w:p>
      <w:pPr>
        <w:pStyle w:val="Heading1"/>
      </w:pPr>
      <w:r>
        <w:t>业务边界</w:t>
      </w:r>
    </w:p>
    <w:p>
      <w:r>
        <w:t>订单事实来自接口，制度结论注明来源及章节。现有退款制度规定：已发货不能按未发货取消处理；需拒收或签收后申请退货，仓库确认收回商品后才发起退款。提供入口不代表已申请、已批准或已到账，不承诺制度未说明的时限。</w:t>
      </w:r>
    </w:p>
    <w:p>
      <w:r>
        <w:t>链接使用已配置地址，办理页面仍检查身份、归属和条件。转人工情形包括仍无法判断、用户主动要求人工、制度要求人工审核。</w:t>
      </w:r>
    </w:p>
    <w:p>
      <w:r>
        <w:t>工单保存所属用户、订单编号（未确定可留空）、问题摘要、转人工原因、依据来源、会话编号及待处理状态。先提供摘要，关联原会话供有权限人员按需查看，无需复制全部对话。第一版只保存并返回工单编号，不代表人工已接听或问题已解决；失败时明确告知。</w:t>
      </w:r>
    </w:p>
    <w:p>
      <w:pPr>
        <w:pStyle w:val="Heading1"/>
      </w:pPr>
      <w:r>
        <w:t>第一版验收样例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输入或条件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可观察的通过标准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未登录或查询他人订单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要求登录或拒绝访问，不泄露订单、会话和工单内容。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没给编号且有多笔候选订单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只展示本人必要候选信息，追问选择，不擅自确定订单。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本人已发货订单询问退款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查询实际状态和制度；必要时追问是否签收，解释拒收或退货路径，不承诺直接退款。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信息足够且存在匹配办理入口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给出已配置、可访问的模拟入口及引用；进入页面仍执行身份和归属校验。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仍无法判断、用户要求人工或制度要求审核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说明原因并创建工单，保留摘要和相关依据；订单未确定时不编造编号。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订单不存在或订单接口不可用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分别说明不存在或暂时无法查询；不假设状态，不冒充查询成功。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工单创建成功或失败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成功可按编号查到待处理记录及关联会话；失败不声称已转交，不把创建说成已解决。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同会话追问以及切换新会话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同会话能延续订单指代，新会话不误用旧历史；其他账号不能读取该会话。</w:t>
            </w:r>
          </w:p>
        </w:tc>
      </w:tr>
    </w:tbl>
    <w:p>
      <w:pPr>
        <w:pStyle w:val="Heading1"/>
      </w:pPr>
      <w:r>
        <w:t>待补充与后续技术安排</w:t>
      </w:r>
    </w:p>
    <w:p>
      <w:r>
        <w:t>待补：具体申请期限、质量问题审核条件及模拟办理入口地址。条件缺失时按无法确认处理。人工查看与处理工单的页面留待扩展；上下文压缩、持久化向量存储随作品推进，长期记忆按需求选做。</w:t>
      </w:r>
    </w:p>
    <w:sectPr w:rsidR="00FC693F" w:rsidRPr="0006063C" w:rsidSect="00034616">
      <w:pgSz w:w="11906" w:h="16838"/>
      <w:pgMar w:top="964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76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76" w:lineRule="auto" w:before="14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