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0.5  2026年10月12日  入口函数已写  页面与工具接入待完成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登录、本人订单、制度问答、会话隔离、办理入口及人工工单；最终展示增加简洁登录页、聊天页和办理演示页，尚未实现。先覆盖已发货退款咨询，再扩地址修改；不执行真实退款或自动提交售后，不做完整商家后台与多商家系统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多笔候选时让顾客选择 → 查询订单事实与适用制度 → 缺信息先追问 → 依据充分则解释条件并提供入口；仍无法判断则告知并创建人工工单。</w:t>
      </w:r>
    </w:p>
    <w:p>
      <w:r>
        <w:t>计划工具包括候选订单、订单详情、制度检索、获取办理入口和创建人工工单；前三项已注册，入口仅有辅助函数，工单待实现。身份与访问范围由后端确定。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订单、适用路径和办理意图明确时直接给配置入口；页面检查身份、归属与条件，网页复用有效登录。仍无法判断、主动要求人工或制度要求审核时转人工。</w:t>
      </w:r>
    </w:p>
    <w:p>
      <w:r>
        <w:t>工单保存所属用户、订单编号（未确定可留空）、问题摘要、转人工原因、依据来源、会话编号及待处理状态。先提供摘要，关联原会话供有权限人员按需查看，无需复制全部对话。第一版只保存并返回工单编号，不代表人工已接听或问题已解决；失败时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待补：申请期限、质量审核条件、入口页登录与订单校验、工单、网页聊天及会话归属。条件缺失按无法确认处理；历史持久化与压缩随项目补，向量库实践放第二个公开手册RAG项目，长期记忆选做。</w:t>
      </w:r>
    </w:p>
    <w:p>
      <w:r>
        <w:t>当前只读主路径已验收，入口函数生成含订单号的演示URL；页面未创建、工具未注册，不代表可办理。工单及网页仍待实现。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