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0.3  2026年10月10日  目标范围与已实现状态分别记录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第一版包含测试账号登录、本人订单查询、制度问答、会话隔离、办理入口引导及人工工单。先覆盖已发货订单的退款咨询，再扩展地址修改。真实退款、Agent 自动提交售后申请、完整商家后台和多商家系统不在本版范围。</w:t>
      </w:r>
    </w:p>
    <w:p>
      <w:r>
        <w:t>订单创建、支付、发货由订单系统负责，退款执行由售后系统负责；助手不管理完整订单生命周期。模拟订单由初始化脚本提供，旧通用写接口待撤下，不向顾客开放任意状态修改或删除。</w:t>
      </w:r>
    </w:p>
    <w:p>
      <w:r>
        <w:t>身份验证 → 定位本人订单 → 多笔候选时让顾客选择 → 查询订单事实与适用制度 → 缺信息先追问 → 依据充分则解释条件并提供入口；仍无法判断则告知并创建人工工单。</w:t>
      </w:r>
    </w:p>
    <w:p>
      <w:r>
        <w:t>Agent 工具分为查询候选订单、查询订单详情、检索售后制度、创建人工工单；前三类读取资料，工单工具写入记录。用户身份和访问范围由后端确定。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链接使用已配置地址，办理页面仍检查身份、归属和条件。转人工情形包括仍无法判断、用户主动要求人工、制度要求人工审核。</w:t>
      </w:r>
    </w:p>
    <w:p>
      <w:r>
        <w:t>工单保存所属用户、订单编号（未确定可留空）、问题摘要、转人工原因、依据来源、会话编号及待处理状态。先提供摘要，关联原会话供有权限人员按需查看，无需复制全部对话。第一版只保存并返回工单编号，不代表人工已接听或问题已解决；失败时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待补：具体申请期限、质量问题审核条件及模拟办理入口地址。条件缺失时按无法确认处理。人工查看与处理工单的页面留待扩展；上下文压缩、持久化向量存储随作品推进，长期记忆按需求选做。</w:t>
      </w:r>
    </w:p>
    <w:p>
      <w:r>
        <w:t>当前已验收后端登录、本人订单读取、登出及自然到期；Agent 尚未携带凭证，候选选择、办理入口及工单仍待实现。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