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tabs>
          <w:tab w:val="left" w:pos="10206"/>
        </w:tabs>
        <w:spacing w:before="0" w:after="60"/>
      </w:pPr>
      <w:r>
        <w:t>Assessment rubric for Systems S</w:t>
      </w:r>
      <w:bookmarkStart w:id="0" w:name="_GoBack"/>
      <w:bookmarkEnd w:id="0"/>
      <w:r>
        <w:t>imulation projects (authors):</w:t>
      </w:r>
    </w:p>
    <w:tbl>
      <w:tblPr>
        <w:tblStyle w:val="TableGrid"/>
        <w:tblW w:w="1529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569"/>
        <w:gridCol w:w="279"/>
        <w:gridCol w:w="709"/>
        <w:gridCol w:w="992"/>
        <w:gridCol w:w="1987"/>
        <w:gridCol w:w="3260"/>
        <w:gridCol w:w="3404"/>
        <w:gridCol w:w="2693"/>
        <w:gridCol w:w="567"/>
      </w:tblGrid>
      <w:tr>
        <w:tc>
          <w:tcPr>
            <w:tcW w:w="1403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Criterion</w:t>
            </w:r>
          </w:p>
        </w:tc>
        <w:tc>
          <w:tcPr>
            <w:tcW w:w="396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Expert (1)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Gifted (2)</w:t>
            </w:r>
          </w:p>
        </w:tc>
        <w:tc>
          <w:tcPr>
            <w:tcW w:w="340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Competent (3)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Learner (4): Project should …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ind w:left="-109" w:right="-109"/>
              <w:jc w:val="center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(5)</w:t>
            </w: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Presentation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Uses </w:t>
            </w:r>
            <w:r>
              <w:rPr>
                <w:b/>
                <w:i/>
                <w:sz w:val="20"/>
              </w:rPr>
              <w:t>concise, precise and accessible text and graphics</w:t>
            </w:r>
            <w:r>
              <w:rPr>
                <w:sz w:val="20"/>
              </w:rPr>
              <w:t xml:space="preserve"> elements to present research and null hypotheses, and project description.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Presents project description and hypotheses using </w:t>
            </w:r>
            <w:r>
              <w:rPr>
                <w:b/>
                <w:i/>
                <w:sz w:val="20"/>
              </w:rPr>
              <w:t>concise and precise text and graphics</w:t>
            </w:r>
            <w:r>
              <w:rPr>
                <w:sz w:val="20"/>
              </w:rPr>
              <w:t xml:space="preserve"> elements.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Presents project description and hypotheses using </w:t>
            </w:r>
            <w:r>
              <w:rPr>
                <w:b/>
                <w:i/>
                <w:sz w:val="20"/>
              </w:rPr>
              <w:t>concise and precise text</w:t>
            </w:r>
            <w:r>
              <w:rPr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… present </w:t>
            </w:r>
            <w:r>
              <w:rPr>
                <w:b/>
                <w:i/>
                <w:sz w:val="20"/>
              </w:rPr>
              <w:t>project description, research and null hypotheses in easily accessible language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Operational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rFonts w:cs="Calibri"/>
                <w:sz w:val="20"/>
              </w:rPr>
              <w:t xml:space="preserve">States the </w:t>
            </w:r>
            <w:r>
              <w:rPr>
                <w:rFonts w:cs="Calibri"/>
                <w:b/>
                <w:i/>
                <w:sz w:val="20"/>
              </w:rPr>
              <w:t>research and null hypothesis</w:t>
            </w:r>
            <w:r>
              <w:rPr>
                <w:rFonts w:cs="Calibri"/>
                <w:sz w:val="20"/>
              </w:rPr>
              <w:t xml:space="preserve"> in a form that </w:t>
            </w:r>
            <w:r>
              <w:rPr>
                <w:rFonts w:cs="Calibri"/>
                <w:b/>
                <w:i/>
                <w:sz w:val="20"/>
              </w:rPr>
              <w:t>is refutable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rFonts w:cs="Calibri"/>
                <w:b/>
                <w:i/>
                <w:sz w:val="20"/>
              </w:rPr>
              <w:t>Research and null hypotheses are mostly refutable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rFonts w:cs="Calibri"/>
                <w:b/>
                <w:i/>
                <w:sz w:val="20"/>
              </w:rPr>
              <w:t>Research and null hypotheses are only partly refutable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… </w:t>
            </w:r>
            <w:r>
              <w:rPr>
                <w:b/>
                <w:i/>
                <w:sz w:val="20"/>
              </w:rPr>
              <w:t>operationalise</w:t>
            </w:r>
            <w:r>
              <w:rPr>
                <w:sz w:val="20"/>
              </w:rPr>
              <w:t xml:space="preserve"> research and null hypotheses.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Logic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>
              <w:rPr>
                <w:b/>
                <w:i/>
                <w:sz w:val="20"/>
              </w:rPr>
              <w:t>project tests</w:t>
            </w:r>
            <w:r>
              <w:rPr>
                <w:sz w:val="20"/>
              </w:rPr>
              <w:t xml:space="preserve"> consistently and measurably the correctness of </w:t>
            </w:r>
            <w:r>
              <w:rPr>
                <w:b/>
                <w:i/>
                <w:sz w:val="20"/>
              </w:rPr>
              <w:t>the hypotheses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Project mostly tests</w:t>
            </w:r>
            <w:r>
              <w:rPr>
                <w:sz w:val="20"/>
              </w:rPr>
              <w:t xml:space="preserve"> the correctness of </w:t>
            </w:r>
            <w:r>
              <w:rPr>
                <w:b/>
                <w:i/>
                <w:sz w:val="20"/>
              </w:rPr>
              <w:t>the hypotheses</w:t>
            </w:r>
            <w:r>
              <w:rPr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Project tests only partly</w:t>
            </w:r>
            <w:r>
              <w:rPr>
                <w:sz w:val="20"/>
              </w:rPr>
              <w:t xml:space="preserve"> the correctness of </w:t>
            </w:r>
            <w:r>
              <w:rPr>
                <w:b/>
                <w:i/>
                <w:sz w:val="20"/>
              </w:rPr>
              <w:t>the hypotheses</w:t>
            </w:r>
            <w:r>
              <w:rPr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clarify </w:t>
            </w:r>
            <w:r>
              <w:rPr>
                <w:b/>
                <w:i/>
                <w:sz w:val="20"/>
              </w:rPr>
              <w:t>sufficient conditions</w:t>
            </w:r>
            <w:r>
              <w:rPr>
                <w:sz w:val="20"/>
              </w:rPr>
              <w:t xml:space="preserve"> for the hypotheses.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Methods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b/>
                <w:i/>
                <w:sz w:val="20"/>
              </w:rPr>
              <w:t>Experimental design fulfils all requirements of the project description to test hypotheses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b/>
                <w:i/>
                <w:sz w:val="20"/>
              </w:rPr>
              <w:t>Experiment fulfils most project requirements</w:t>
            </w:r>
            <w:r>
              <w:rPr>
                <w:sz w:val="20"/>
              </w:rPr>
              <w:t xml:space="preserve"> to test hypotheses.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b/>
                <w:i/>
                <w:sz w:val="20"/>
              </w:rPr>
              <w:t>Experiment partly fulfils the project requirements</w:t>
            </w:r>
            <w:r>
              <w:rPr>
                <w:sz w:val="20"/>
              </w:rPr>
              <w:t xml:space="preserve"> to test hypotheses.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… ensure that </w:t>
            </w:r>
            <w:r>
              <w:rPr>
                <w:b/>
                <w:i/>
                <w:sz w:val="20"/>
              </w:rPr>
              <w:t>experiment robustly tests the hypotheses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Analysis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Presents experimental results in such a way that </w:t>
            </w:r>
            <w:r>
              <w:rPr>
                <w:rFonts w:cs="Calibri"/>
                <w:b/>
                <w:i/>
                <w:sz w:val="20"/>
              </w:rPr>
              <w:t>readers immediately understand how they (dis-)confirm the research hypothesis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Presents results in such a way that </w:t>
            </w:r>
            <w:r>
              <w:rPr>
                <w:rFonts w:cs="Calibri"/>
                <w:b/>
                <w:i/>
                <w:sz w:val="20"/>
              </w:rPr>
              <w:t>readers can follow how they (dis-) confirm the research hypothesis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Presents results in such a way that </w:t>
            </w:r>
            <w:r>
              <w:rPr>
                <w:rFonts w:cs="Calibri"/>
                <w:b/>
                <w:i/>
                <w:sz w:val="20"/>
              </w:rPr>
              <w:t>they plausibly (dis-)confirm the research hypothesis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overflowPunct/>
              <w:spacing w:before="20" w:after="20"/>
              <w:jc w:val="left"/>
              <w:textAlignment w:val="auto"/>
              <w:rPr>
                <w:sz w:val="20"/>
              </w:rPr>
            </w:pPr>
            <w:r>
              <w:rPr>
                <w:sz w:val="20"/>
              </w:rPr>
              <w:t xml:space="preserve">… </w:t>
            </w:r>
            <w:r>
              <w:rPr>
                <w:b/>
                <w:i/>
                <w:sz w:val="20"/>
              </w:rPr>
              <w:t>derive</w:t>
            </w:r>
            <w:r>
              <w:rPr>
                <w:sz w:val="20"/>
              </w:rPr>
              <w:t xml:space="preserve"> (dis-)confirmation of </w:t>
            </w:r>
            <w:r>
              <w:rPr>
                <w:b/>
                <w:i/>
                <w:sz w:val="20"/>
              </w:rPr>
              <w:t>hypotheses</w:t>
            </w:r>
            <w:r>
              <w:rPr>
                <w:sz w:val="20"/>
              </w:rPr>
              <w:t xml:space="preserve"> convincingly </w:t>
            </w:r>
            <w:r>
              <w:rPr>
                <w:b/>
                <w:i/>
                <w:sz w:val="20"/>
              </w:rPr>
              <w:t>from experimental results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tabs>
                <w:tab w:val="left" w:pos="670"/>
              </w:tabs>
              <w:spacing w:before="20" w:after="20"/>
              <w:jc w:val="left"/>
              <w:rPr>
                <w:b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Argument: Discussion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The wider </w:t>
            </w:r>
            <w:r>
              <w:rPr>
                <w:b/>
                <w:i/>
                <w:sz w:val="20"/>
              </w:rPr>
              <w:t>meaning and relevance</w:t>
            </w:r>
            <w:r>
              <w:rPr>
                <w:sz w:val="20"/>
              </w:rPr>
              <w:t xml:space="preserve"> of the conclusions is </w:t>
            </w:r>
            <w:r>
              <w:rPr>
                <w:b/>
                <w:i/>
                <w:sz w:val="20"/>
              </w:rPr>
              <w:t>immediately apparent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Wider </w:t>
            </w:r>
            <w:r>
              <w:rPr>
                <w:b/>
                <w:i/>
                <w:sz w:val="20"/>
              </w:rPr>
              <w:t>meaning and relevance</w:t>
            </w:r>
            <w:r>
              <w:rPr>
                <w:sz w:val="20"/>
              </w:rPr>
              <w:t xml:space="preserve"> of the conclusions is </w:t>
            </w:r>
            <w:r>
              <w:rPr>
                <w:b/>
                <w:i/>
                <w:sz w:val="20"/>
              </w:rPr>
              <w:t>apparent</w:t>
            </w:r>
            <w:r>
              <w:rPr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Wider </w:t>
            </w:r>
            <w:r>
              <w:rPr>
                <w:b/>
                <w:i/>
                <w:sz w:val="20"/>
              </w:rPr>
              <w:t>relevance</w:t>
            </w:r>
            <w:r>
              <w:rPr>
                <w:sz w:val="20"/>
              </w:rPr>
              <w:t xml:space="preserve"> of the conclusions is only </w:t>
            </w:r>
            <w:r>
              <w:rPr>
                <w:b/>
                <w:i/>
                <w:sz w:val="20"/>
              </w:rPr>
              <w:t>recognisable</w:t>
            </w:r>
            <w:r>
              <w:rPr>
                <w:sz w:val="20"/>
              </w:rPr>
              <w:t xml:space="preserve"> with effort.</w:t>
            </w:r>
          </w:p>
        </w:tc>
        <w:tc>
          <w:tcPr>
            <w:tcW w:w="2693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</w:t>
            </w:r>
            <w:r>
              <w:rPr>
                <w:b/>
                <w:i/>
                <w:sz w:val="20"/>
              </w:rPr>
              <w:t>present wider relevance</w:t>
            </w:r>
            <w:r>
              <w:rPr>
                <w:sz w:val="20"/>
              </w:rPr>
              <w:t xml:space="preserve"> of the work for other domains.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</w:tcPr>
          <w:p>
            <w:pPr>
              <w:spacing w:before="20" w:after="20"/>
              <w:ind w:left="-109" w:right="-109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sz w:val="20"/>
                <w:lang w:val="de-DE"/>
              </w:rPr>
              <w:t>Argument</w:t>
            </w:r>
            <w:r>
              <w:rPr>
                <w:b/>
                <w:bCs/>
                <w:sz w:val="20"/>
                <w:lang w:val="de-DE"/>
              </w:rPr>
              <w:t>: Software-Apparatus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Software-code fulfils all requirements</w:t>
            </w:r>
            <w:r>
              <w:rPr>
                <w:bCs/>
                <w:iCs/>
                <w:sz w:val="20"/>
              </w:rPr>
              <w:t xml:space="preserve"> of the project without logical gaps, checks for user errors and displays appropriate outputs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Code fulfils all requirements</w:t>
            </w:r>
            <w:r>
              <w:rPr>
                <w:bCs/>
                <w:iCs/>
                <w:sz w:val="20"/>
              </w:rPr>
              <w:t xml:space="preserve"> without errors, with some inappropriate output. Checks for some user errors</w:t>
            </w:r>
            <w:r>
              <w:rPr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Code delivers correct results</w:t>
            </w:r>
            <w:r>
              <w:rPr>
                <w:bCs/>
                <w:iCs/>
                <w:sz w:val="20"/>
              </w:rPr>
              <w:t>, but displays them incorrectly. Checks for some user and range errors</w:t>
            </w:r>
            <w:r>
              <w:rPr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</w:t>
            </w:r>
            <w:r>
              <w:rPr>
                <w:b/>
                <w:i/>
                <w:sz w:val="20"/>
              </w:rPr>
              <w:t>fulfil all experimental requirements</w:t>
            </w:r>
            <w:r>
              <w:rPr>
                <w:sz w:val="20"/>
              </w:rPr>
              <w:t xml:space="preserve"> correctly and check user input.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Presentation</w:t>
            </w:r>
          </w:p>
        </w:tc>
        <w:tc>
          <w:tcPr>
            <w:tcW w:w="396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The code is clearly structured and formatted.</w:t>
            </w:r>
            <w:r>
              <w:rPr>
                <w:bCs/>
                <w:iCs/>
                <w:sz w:val="20"/>
              </w:rPr>
              <w:t xml:space="preserve"> Clear code-blocks, methods, indentation and line-breaks facilitate easy understanding.</w:t>
            </w:r>
          </w:p>
        </w:tc>
        <w:tc>
          <w:tcPr>
            <w:tcW w:w="3260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Code is easy to follow</w:t>
            </w:r>
            <w:r>
              <w:rPr>
                <w:sz w:val="20"/>
              </w:rPr>
              <w:t xml:space="preserve"> despite minor formatting, indentation or bracketing errors.</w:t>
            </w:r>
          </w:p>
        </w:tc>
        <w:tc>
          <w:tcPr>
            <w:tcW w:w="3404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Code is mostly easy to follow</w:t>
            </w:r>
            <w:r>
              <w:rPr>
                <w:sz w:val="20"/>
              </w:rPr>
              <w:t>, but formatting increases the difficulty of this task.</w:t>
            </w:r>
          </w:p>
        </w:tc>
        <w:tc>
          <w:tcPr>
            <w:tcW w:w="2693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use clear </w:t>
            </w:r>
            <w:r>
              <w:rPr>
                <w:b/>
                <w:i/>
                <w:sz w:val="20"/>
              </w:rPr>
              <w:t>formatting</w:t>
            </w:r>
            <w:r>
              <w:rPr>
                <w:sz w:val="20"/>
              </w:rPr>
              <w:t xml:space="preserve"> to </w:t>
            </w:r>
            <w:r>
              <w:rPr>
                <w:b/>
                <w:i/>
                <w:sz w:val="20"/>
              </w:rPr>
              <w:t>express the execution flow</w:t>
            </w:r>
            <w:r>
              <w:rPr>
                <w:sz w:val="20"/>
              </w:rPr>
              <w:t xml:space="preserve"> clearly for lay readers.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Coherence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Code-structure, naming and comments emphasise </w:t>
            </w:r>
            <w:r>
              <w:rPr>
                <w:sz w:val="20"/>
              </w:rPr>
              <w:t>clearly</w:t>
            </w:r>
            <w:r>
              <w:rPr>
                <w:b/>
                <w:i/>
                <w:sz w:val="20"/>
              </w:rPr>
              <w:t xml:space="preserve"> the unifying intention behind </w:t>
            </w:r>
            <w:r>
              <w:rPr>
                <w:sz w:val="20"/>
              </w:rPr>
              <w:t>all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modules and </w:t>
            </w:r>
            <w:r>
              <w:rPr>
                <w:b/>
                <w:i/>
                <w:sz w:val="20"/>
              </w:rPr>
              <w:t>code-components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Comments express the intention of the components</w:t>
            </w:r>
            <w:r>
              <w:rPr>
                <w:sz w:val="20"/>
              </w:rPr>
              <w:t>,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b/>
                <w:i/>
                <w:sz w:val="20"/>
              </w:rPr>
              <w:t xml:space="preserve"> naming is </w:t>
            </w:r>
            <w:r>
              <w:rPr>
                <w:sz w:val="20"/>
              </w:rPr>
              <w:t>sometimes</w:t>
            </w:r>
            <w:r>
              <w:rPr>
                <w:b/>
                <w:i/>
                <w:sz w:val="20"/>
              </w:rPr>
              <w:t xml:space="preserve"> confusing</w:t>
            </w:r>
            <w:r>
              <w:rPr>
                <w:sz w:val="20"/>
              </w:rPr>
              <w:t>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Comments express intentions</w:t>
            </w:r>
            <w:r>
              <w:rPr>
                <w:sz w:val="20"/>
              </w:rPr>
              <w:t>,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b/>
                <w:i/>
                <w:sz w:val="20"/>
              </w:rPr>
              <w:t xml:space="preserve"> naming does not</w:t>
            </w:r>
            <w:r>
              <w:rPr>
                <w:sz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use </w:t>
            </w:r>
            <w:r>
              <w:rPr>
                <w:b/>
                <w:i/>
                <w:sz w:val="20"/>
              </w:rPr>
              <w:t>code-structure and naming</w:t>
            </w:r>
            <w:r>
              <w:rPr>
                <w:sz w:val="20"/>
              </w:rPr>
              <w:t xml:space="preserve"> to </w:t>
            </w:r>
            <w:r>
              <w:rPr>
                <w:b/>
                <w:i/>
                <w:sz w:val="20"/>
              </w:rPr>
              <w:t>communicate</w:t>
            </w:r>
            <w:r>
              <w:rPr>
                <w:sz w:val="20"/>
              </w:rPr>
              <w:t xml:space="preserve"> clearly its unifying </w:t>
            </w:r>
            <w:r>
              <w:rPr>
                <w:b/>
                <w:i/>
                <w:sz w:val="20"/>
              </w:rPr>
              <w:t>intention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Typing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Uses </w:t>
            </w:r>
            <w:r>
              <w:rPr>
                <w:sz w:val="20"/>
              </w:rPr>
              <w:t xml:space="preserve">primitive and custom </w:t>
            </w:r>
            <w:r>
              <w:rPr>
                <w:b/>
                <w:i/>
                <w:sz w:val="20"/>
              </w:rPr>
              <w:t>types efficiently and correctly</w:t>
            </w:r>
            <w:r>
              <w:rPr>
                <w:sz w:val="20"/>
              </w:rPr>
              <w:t xml:space="preserve"> to structure code cleanly and conceptually.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Uses types appropriately</w:t>
            </w:r>
            <w:r>
              <w:rPr>
                <w:sz w:val="20"/>
              </w:rPr>
              <w:t xml:space="preserve"> to structure code efficiently and transparently.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Uses types appropriately</w:t>
            </w:r>
            <w:r>
              <w:rPr>
                <w:sz w:val="20"/>
              </w:rPr>
              <w:t>, but based on inappropriate or unclear conceptual structures.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use </w:t>
            </w:r>
            <w:r>
              <w:rPr>
                <w:b/>
                <w:i/>
                <w:sz w:val="20"/>
              </w:rPr>
              <w:t>typing</w:t>
            </w:r>
            <w:r>
              <w:rPr>
                <w:sz w:val="20"/>
              </w:rPr>
              <w:t xml:space="preserve"> as a tool for </w:t>
            </w:r>
            <w:r>
              <w:rPr>
                <w:b/>
                <w:i/>
                <w:sz w:val="20"/>
              </w:rPr>
              <w:t>designing software around conceptual structures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Control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Control structures (recursion, convolution, iteration) support effective algorithm design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Employs control structures mostly appropriately </w:t>
            </w:r>
            <w:r>
              <w:rPr>
                <w:sz w:val="20"/>
              </w:rPr>
              <w:t>to algorithmic intent.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Uses control structures appropriately, </w:t>
            </w:r>
            <w:r>
              <w:rPr>
                <w:sz w:val="20"/>
              </w:rPr>
              <w:t>but in inappropriate algorithms.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use </w:t>
            </w:r>
            <w:r>
              <w:rPr>
                <w:b/>
                <w:i/>
                <w:sz w:val="20"/>
              </w:rPr>
              <w:t>control structures</w:t>
            </w:r>
            <w:r>
              <w:rPr>
                <w:sz w:val="20"/>
              </w:rPr>
              <w:t xml:space="preserve"> as a tool for </w:t>
            </w:r>
            <w:r>
              <w:rPr>
                <w:b/>
                <w:i/>
                <w:sz w:val="20"/>
              </w:rPr>
              <w:t>algorithmic design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Modularity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Modules</w:t>
            </w:r>
            <w:r>
              <w:rPr>
                <w:sz w:val="20"/>
              </w:rPr>
              <w:t xml:space="preserve">, methods and interfaces </w:t>
            </w:r>
            <w:r>
              <w:rPr>
                <w:b/>
                <w:i/>
                <w:sz w:val="20"/>
              </w:rPr>
              <w:t>possess</w:t>
            </w:r>
            <w:r>
              <w:rPr>
                <w:sz w:val="20"/>
              </w:rPr>
              <w:t xml:space="preserve"> and encapsulate a </w:t>
            </w:r>
            <w:r>
              <w:rPr>
                <w:b/>
                <w:i/>
                <w:sz w:val="20"/>
              </w:rPr>
              <w:t>transparent</w:t>
            </w:r>
            <w:r>
              <w:rPr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Intention and responsibility</w:t>
            </w:r>
            <w:r>
              <w:rPr>
                <w:sz w:val="20"/>
              </w:rPr>
              <w:t xml:space="preserve"> to minimise redundancy and error propagation (rippling).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Modularity is transparent</w:t>
            </w:r>
            <w:r>
              <w:rPr>
                <w:sz w:val="20"/>
              </w:rPr>
              <w:t>, but leaky partitioning of responsibilities permits redundancy and error propagation.</w:t>
            </w: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Modularity is understandable</w:t>
            </w:r>
            <w:r>
              <w:rPr>
                <w:sz w:val="20"/>
              </w:rPr>
              <w:t>, but the code employs global access to data, so allowing the dangers of redundancy and error propagation.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… clearly </w:t>
            </w:r>
            <w:r>
              <w:rPr>
                <w:b/>
                <w:i/>
                <w:sz w:val="20"/>
              </w:rPr>
              <w:t>partition modules</w:t>
            </w:r>
            <w:r>
              <w:rPr>
                <w:sz w:val="20"/>
              </w:rPr>
              <w:t xml:space="preserve">, methods and interfaces </w:t>
            </w:r>
            <w:r>
              <w:rPr>
                <w:b/>
                <w:i/>
                <w:sz w:val="20"/>
              </w:rPr>
              <w:t xml:space="preserve">based on </w:t>
            </w:r>
            <w:r>
              <w:rPr>
                <w:sz w:val="20"/>
              </w:rPr>
              <w:t>their</w:t>
            </w:r>
            <w:r>
              <w:rPr>
                <w:b/>
                <w:i/>
                <w:sz w:val="20"/>
              </w:rPr>
              <w:t xml:space="preserve"> responsibility and intention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140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Software: Efficiency</w:t>
            </w:r>
          </w:p>
        </w:tc>
        <w:tc>
          <w:tcPr>
            <w:tcW w:w="3967" w:type="dxa"/>
            <w:gridSpan w:val="4"/>
            <w:tcBorders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Code is very efficient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minimises operation complexity</w:t>
            </w:r>
            <w:r>
              <w:rPr>
                <w:sz w:val="20"/>
              </w:rPr>
              <w:t xml:space="preserve"> and stores multiply accessed data, </w:t>
            </w:r>
            <w:r>
              <w:rPr>
                <w:b/>
                <w:i/>
                <w:sz w:val="20"/>
              </w:rPr>
              <w:t>without sacrificing readability</w:t>
            </w:r>
            <w:r>
              <w:rPr>
                <w:sz w:val="20"/>
              </w:rPr>
              <w:t>.</w:t>
            </w:r>
          </w:p>
        </w:tc>
        <w:tc>
          <w:tcPr>
            <w:tcW w:w="3260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Code is efficient without sacrificing readability </w:t>
            </w:r>
            <w:r>
              <w:rPr>
                <w:sz w:val="20"/>
              </w:rPr>
              <w:t>and comprehensibility.</w:t>
            </w:r>
          </w:p>
        </w:tc>
        <w:tc>
          <w:tcPr>
            <w:tcW w:w="3404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Code is efficient with little loss of readability</w:t>
            </w:r>
            <w:r>
              <w:rPr>
                <w:sz w:val="20"/>
              </w:rPr>
              <w:t xml:space="preserve"> or comprehensibility.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  <w:r>
              <w:rPr>
                <w:sz w:val="20"/>
              </w:rPr>
              <w:t>… organise</w:t>
            </w:r>
            <w:r>
              <w:rPr>
                <w:b/>
                <w:i/>
                <w:sz w:val="20"/>
              </w:rPr>
              <w:t xml:space="preserve"> communication </w:t>
            </w:r>
            <w:r>
              <w:rPr>
                <w:sz w:val="20"/>
              </w:rPr>
              <w:t>between code-components</w:t>
            </w:r>
            <w:r>
              <w:rPr>
                <w:b/>
                <w:i/>
                <w:sz w:val="20"/>
              </w:rPr>
              <w:t xml:space="preserve"> efficiently and readably</w:t>
            </w:r>
            <w:r>
              <w:rPr>
                <w:sz w:val="20"/>
              </w:rPr>
              <w:t>.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</w:rPr>
            </w:pPr>
          </w:p>
        </w:tc>
      </w:tr>
      <w:tr>
        <w:tc>
          <w:tcPr>
            <w:tcW w:w="83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i/>
                <w:iCs/>
                <w:sz w:val="20"/>
                <w:lang w:val="de-DE"/>
              </w:rPr>
            </w:pPr>
            <w:r>
              <w:rPr>
                <w:b/>
                <w:bCs/>
                <w:sz w:val="20"/>
                <w:lang w:val="de-DE"/>
              </w:rPr>
              <w:t>Total =</w:t>
            </w:r>
          </w:p>
        </w:tc>
        <w:tc>
          <w:tcPr>
            <w:tcW w:w="848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/>
                <w:bCs/>
                <w:iCs/>
                <w:sz w:val="20"/>
                <w:lang w:val="de-DE"/>
              </w:rPr>
            </w:pPr>
            <w:r>
              <w:rPr>
                <w:b/>
                <w:bCs/>
                <w:iCs/>
                <w:sz w:val="20"/>
                <w:lang w:val="de-DE"/>
              </w:rPr>
              <w:t>/ 13 =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19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bCs/>
                <w:iCs/>
                <w:sz w:val="20"/>
                <w:lang w:val="de-DE"/>
              </w:rPr>
            </w:pP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3404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>
            <w:pPr>
              <w:spacing w:before="20" w:after="20"/>
              <w:jc w:val="left"/>
              <w:rPr>
                <w:sz w:val="20"/>
                <w:lang w:val="de-DE"/>
              </w:rPr>
            </w:pPr>
          </w:p>
        </w:tc>
      </w:tr>
    </w:tbl>
    <w:p>
      <w:pPr>
        <w:pStyle w:val="NoSpacing"/>
        <w:spacing w:after="120"/>
        <w:rPr>
          <w:lang w:val="de-DE"/>
        </w:rPr>
      </w:pPr>
    </w:p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80EFC-B7AC-4991-8D10-C5130586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210</cp:revision>
  <cp:lastPrinted>2020-07-14T13:41:00Z</cp:lastPrinted>
  <dcterms:created xsi:type="dcterms:W3CDTF">2020-07-14T13:39:00Z</dcterms:created>
  <dcterms:modified xsi:type="dcterms:W3CDTF">2023-12-24T05:59:00Z</dcterms:modified>
</cp:coreProperties>
</file>