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  <w:ind w:left="851" w:hanging="851"/>
      </w:pPr>
      <w:r>
        <w:t>Biochemical cognition: Building a brainy bacterium</w:t>
      </w:r>
    </w:p>
    <w:p>
      <w:pPr>
        <w:pStyle w:val="Heading2"/>
      </w:pPr>
      <w:r>
        <w:t>What new skills will I possess after completing this laboratory?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Generalising</w:t>
      </w:r>
      <w:r>
        <w:t xml:space="preserve"> Michaelis-Menten kinetics to Hill functions;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3559810</wp:posOffset>
                </wp:positionH>
                <wp:positionV relativeFrom="paragraph">
                  <wp:posOffset>166370</wp:posOffset>
                </wp:positionV>
                <wp:extent cx="2540000" cy="1050925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105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object w:dxaOrig="3955" w:dyaOrig="166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97.75pt;height:83.25pt">
                                  <v:imagedata r:id="rId8" o:title=""/>
                                </v:shape>
                                <o:OLEObject Type="Embed" ProgID="SmartDraw.2" ShapeID="_x0000_i1026" DrawAspect="Content" ObjectID="_1774947002" r:id="rId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3pt;margin-top:13.1pt;width:200pt;height:8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">
                <v:textbox inset="0,0,0,0">
                  <w:txbxContent>
                    <w:p>
                      <w:r>
                        <w:object w:dxaOrig="4531" w:dyaOrig="1905">
                          <v:shape id="_x0000_i1026" type="#_x0000_t75" style="width:197.75pt;height:83.25pt">
                            <v:imagedata r:id="rId10" o:title=""/>
                          </v:shape>
                          <o:OLEObject Type="Embed" ProgID="SmartDraw.2" ShapeID="_x0000_i1026" DrawAspect="Content" ObjectID="_1773682882" r:id="rId1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Applying</w:t>
      </w:r>
      <w:r>
        <w:t xml:space="preserve"> ODEs to chemical balance equations;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Developing</w:t>
      </w:r>
      <w:r>
        <w:t xml:space="preserve"> designs for a genetic switch.</w:t>
      </w:r>
    </w:p>
    <w:p>
      <w:pPr>
        <w:pStyle w:val="Heading2"/>
      </w:pPr>
      <w:r>
        <w:t>Why do I need these skills?</w:t>
      </w:r>
    </w:p>
    <w:p>
      <w:r>
        <w:t xml:space="preserve">In this lab, we use the module </w:t>
      </w:r>
      <w:r>
        <w:rPr>
          <w:b/>
        </w:rPr>
        <w:t>CellularCognition</w:t>
      </w:r>
      <w:r>
        <w:t xml:space="preserve"> to study how biochemistry implements </w:t>
      </w:r>
      <w:r>
        <w:rPr>
          <w:b/>
          <w:i/>
        </w:rPr>
        <w:t>cognition</w:t>
      </w:r>
      <w:r>
        <w:t xml:space="preserve">: organisms’ ability to </w:t>
      </w:r>
      <w:r>
        <w:rPr>
          <w:i/>
        </w:rPr>
        <w:t>choose</w:t>
      </w:r>
      <w:r>
        <w:t xml:space="preserve">. This diagram illustrates how an </w:t>
      </w:r>
      <w:r>
        <w:rPr>
          <w:i/>
        </w:rPr>
        <w:t>E. coli</w:t>
      </w:r>
      <w:r>
        <w:t xml:space="preserve"> cell makes </w:t>
      </w:r>
      <w:r>
        <w:rPr>
          <w:b/>
          <w:i/>
        </w:rPr>
        <w:t>choices</w:t>
      </w:r>
      <w:r>
        <w:t xml:space="preserve"> (survival-relevant decisions) in relation to problems posed by its environment.</w:t>
      </w:r>
    </w:p>
    <w:p>
      <w:r>
        <w:t xml:space="preserve">A bacterial cell is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long bag of around 4000 different proteins of about 1000 molecules each. It senses its environment via signalling proteins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that enter the cell, and responds by expressing </w:t>
      </w:r>
      <w:r>
        <w:rPr>
          <w:b/>
          <w:i/>
        </w:rPr>
        <w:t>regulator</w:t>
      </w:r>
      <w:r>
        <w:t xml:space="preserve"> proteins that either act on the environment or change the cell's internal state. First,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binds to the regulator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thereby activating it into a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that binds to the promoter of a target gene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to regulate the expression rate of another protein </w:t>
      </w:r>
      <m:oMath>
        <m:r>
          <w:rPr>
            <w:rFonts w:ascii="Cambria Math" w:hAnsi="Cambria Math"/>
          </w:rPr>
          <m:t>Y</m:t>
        </m:r>
      </m:oMath>
      <w:r>
        <w:t>. The cell’s internal state is the set of instantaneous concentrations of about 300 different regulators that regulate protein expression.</w:t>
      </w:r>
    </w:p>
    <w:p>
      <w:r>
        <w:t xml:space="preserve">So the 'brain' of a cell consists of a </w:t>
      </w:r>
      <w:r>
        <w:rPr>
          <w:b/>
          <w:i/>
        </w:rPr>
        <w:t>regulatory network</w:t>
      </w:r>
      <w:r>
        <w:t xml:space="preserve"> that works exactly like other structural processing systems such as neural or immune networks. It contains thousands of chemical species that react with each other. Think of the gene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as a catalyst that computes the rate of production of </w:t>
      </w:r>
      <m:oMath>
        <m:r>
          <w:rPr>
            <w:rFonts w:ascii="Cambria Math" w:hAnsi="Cambria Math"/>
          </w:rPr>
          <m:t>Y</m:t>
        </m:r>
      </m:oMath>
      <w:r>
        <w:t xml:space="preserve"> as a function of the concentration of </w:t>
      </w:r>
      <m:oMath>
        <m:r>
          <w:rPr>
            <w:rFonts w:ascii="Cambria Math" w:hAnsi="Cambria Math"/>
          </w:rPr>
          <m:t>X</m:t>
        </m:r>
      </m:oMath>
      <w:r>
        <w:t xml:space="preserve">. To model this, let’s first look at the second-order catalytic reaction implemented in </w:t>
      </w:r>
      <w:r>
        <w:rPr>
          <w:b/>
        </w:rPr>
        <w:t>CellularCognition</w:t>
      </w:r>
      <w:r>
        <w:t>, where the enzyme galactosidase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) first binds reversibly to lactose (</w:t>
      </w:r>
      <m:oMath>
        <m:r>
          <w:rPr>
            <w:rFonts w:ascii="Cambria Math" w:hAnsi="Cambria Math"/>
          </w:rPr>
          <m:t>X</m:t>
        </m:r>
      </m:oMath>
      <w:r>
        <w:t>), then breaks into galactosidase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) plus glucose and galactose (</w:t>
      </w:r>
      <m:oMath>
        <m:r>
          <w:rPr>
            <w:rFonts w:ascii="Cambria Math" w:hAnsi="Cambria Math"/>
          </w:rPr>
          <m:t>Y</m:t>
        </m:r>
      </m:oMath>
      <w:r>
        <w:t>):</w:t>
      </w:r>
    </w:p>
    <w:bookmarkStart w:id="0" w:name="_Ref163053239"/>
    <w:p>
      <w:pPr>
        <w:pStyle w:val="Equation"/>
      </w:pPr>
      <m:oMath>
        <m:sSub>
          <m:sSubPr>
            <m:ctrlPr>
              <w:rPr>
                <w:i/>
              </w:rPr>
            </m:ctrlPr>
          </m:sSubPr>
          <m:e>
            <m:r>
              <m:t>G</m:t>
            </m:r>
          </m:e>
          <m:sub>
            <m:r>
              <m:t>Y</m:t>
            </m:r>
          </m:sub>
        </m:sSub>
        <m:r>
          <m:t xml:space="preserve">+X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i/>
              </w:rPr>
            </m:ctrlPr>
          </m:mPr>
          <m:mr>
            <m:e>
              <m:box>
                <m:boxPr>
                  <m:opEmu m:val="1"/>
                  <m:ctrlPr>
                    <w:rPr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k</m:t>
                          </m:r>
                        </m:e>
                        <m:sub>
                          <m:r>
                            <m:t>fwd</m:t>
                          </m:r>
                        </m:sub>
                      </m:sSub>
                    </m:e>
                  </m:groupChr>
                </m:e>
              </m:box>
            </m:e>
          </m:mr>
          <m:mr>
            <m:e>
              <m:box>
                <m:boxPr>
                  <m:opEmu m:val="1"/>
                  <m:ctrlPr>
                    <w:rPr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k</m:t>
                          </m:r>
                        </m:e>
                        <m:sub>
                          <m:r>
                            <m:t>bwd</m:t>
                          </m:r>
                        </m:sub>
                      </m:sSub>
                    </m:e>
                  </m:groupChr>
                </m:e>
              </m:box>
            </m:e>
          </m:mr>
        </m:m>
        <m:r>
          <m:t xml:space="preserve"> X</m:t>
        </m:r>
        <m:sSub>
          <m:sSubPr>
            <m:ctrlPr>
              <w:rPr>
                <w:i/>
              </w:rPr>
            </m:ctrlPr>
          </m:sSubPr>
          <m:e>
            <m:r>
              <m:t>G</m:t>
            </m:r>
          </m:e>
          <m:sub>
            <m:r>
              <m:t>Y</m:t>
            </m:r>
          </m:sub>
        </m:sSub>
        <m:box>
          <m:boxPr>
            <m:opEmu m:val="1"/>
            <m:ctrlPr>
              <w:rPr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i/>
                  </w:rPr>
                </m:ctrlPr>
              </m:groupChr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k</m:t>
                    </m:r>
                  </m:e>
                  <m:sub>
                    <m:r>
                      <m:t>cat</m:t>
                    </m:r>
                  </m:sub>
                </m:sSub>
              </m:e>
            </m:groupChr>
          </m:e>
        </m:box>
        <m:sSub>
          <m:sSubPr>
            <m:ctrlPr>
              <w:rPr>
                <w:i/>
              </w:rPr>
            </m:ctrlPr>
          </m:sSubPr>
          <m:e>
            <m:r>
              <m:t>G</m:t>
            </m:r>
          </m:e>
          <m:sub>
            <m:r>
              <m:t>Y</m:t>
            </m:r>
          </m:sub>
        </m:sSub>
        <m:r>
          <m:t>+Y</m:t>
        </m:r>
      </m:oMath>
      <w:bookmarkEnd w:id="0"/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" w:name="_Ref158545096"/>
      <w:bookmarkStart w:id="2" w:name="_Ref158607603"/>
      <w:bookmarkStart w:id="3" w:name="_Ref158731798"/>
      <w:bookmarkEnd w:id="1"/>
      <w:r>
        <w:t>Draw an SPD of this model.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4" w:name="_Ref163058772"/>
      <w:r>
        <w:t xml:space="preserve">Study and run the lactose breakdown model in </w:t>
      </w:r>
      <w:r>
        <w:rPr>
          <w:b/>
        </w:rPr>
        <w:t>CellularCognition</w:t>
      </w:r>
      <w:r>
        <w:t xml:space="preserve">. Use the rate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fwd</m:t>
            </m:r>
          </m:sub>
        </m:sSub>
        <m:r>
          <w:rPr>
            <w:rFonts w:ascii="Cambria Math" w:hAnsi="Cambria Math"/>
          </w:rPr>
          <m:t xml:space="preserve">=2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bwd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cat</m:t>
            </m:r>
          </m:sub>
        </m:sSub>
        <m:r>
          <w:rPr>
            <w:rFonts w:ascii="Cambria Math" w:hAnsi="Cambria Math"/>
          </w:rPr>
          <m:t xml:space="preserve">=1.5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, with initial concentrations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=8 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 xml:space="preserve">=4 </m:t>
        </m:r>
        <m:r>
          <m:rPr>
            <m:sty m:val="p"/>
          </m:rPr>
          <w:rPr>
            <w:rFonts w:ascii="Cambria Math" w:hAnsi="Cambria Math"/>
          </w:rPr>
          <m:t>M</m:t>
        </m:r>
      </m:oMath>
      <w:bookmarkEnd w:id="2"/>
      <w:r>
        <w:t>, and generate a BOTG over 5 seconds.</w:t>
      </w:r>
      <w:bookmarkEnd w:id="3"/>
      <w:bookmarkEnd w:id="4"/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Compare the curves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and for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: why do they have this particular relationship?</w:t>
      </w:r>
    </w:p>
    <w:p>
      <w:pPr>
        <w:pStyle w:val="Heading2"/>
      </w:pPr>
      <w:r>
        <w:t>What is the structure of the skills?</w:t>
      </w:r>
    </w:p>
    <w:p>
      <w:r>
        <w:t xml:space="preserve">The dynamics of exercise </w:t>
      </w:r>
      <w:r>
        <w:fldChar w:fldCharType="begin"/>
      </w:r>
      <w:r>
        <w:instrText xml:space="preserve"> REF _Ref163058772 \r \h </w:instrText>
      </w:r>
      <w:r>
        <w:fldChar w:fldCharType="separate"/>
      </w:r>
      <w:r>
        <w:t>(ii)</w:t>
      </w:r>
      <w:r>
        <w:fldChar w:fldCharType="end"/>
      </w:r>
      <w:r>
        <w:t xml:space="preserve"> are typical of catalytic reactions, but the enzyme concentration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t xml:space="preserve"> is usually much smaller than the substrate concentration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which changes the shape of the curves: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Change the initial concentration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t xml:space="preserve"> of the unbound enzyme to 0.5, and rerun your simulation. What is the approximate rate of change of the concentration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t xml:space="preserve"> of the bound substrate-enzyme complex for most of the simulation run?</w:t>
      </w:r>
    </w:p>
    <w:p>
      <w:r>
        <w:t xml:space="preserve">This discovery helps us to model catalysis more efficiently by assuming that reaction </w:t>
      </w:r>
      <w:r>
        <w:fldChar w:fldCharType="begin"/>
      </w:r>
      <w:r>
        <w:instrText xml:space="preserve"> REF _Ref158606007 \r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  <w:r>
        <w:t xml:space="preserve"> has settled into a steady state in which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t xml:space="preserve"> is constant. The balance (inputs–outputs) equation for XS is then:</w:t>
      </w:r>
    </w:p>
    <w:p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fwd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bwd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⟹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fwd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bwd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cat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p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≡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bwd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cat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fwd</m:t>
                </m:r>
              </m:sub>
            </m:sSub>
          </m:den>
        </m:f>
      </m:oMath>
      <w:r>
        <w:t xml:space="preserve"> is the </w:t>
      </w:r>
      <w:r>
        <w:rPr>
          <w:b/>
          <w:i/>
        </w:rPr>
        <w:t>Michaelis constant</w:t>
      </w:r>
      <w:r>
        <w:t xml:space="preserve"> for the catalytic reaction </w:t>
      </w:r>
      <w:r>
        <w:fldChar w:fldCharType="begin"/>
      </w:r>
      <w:r>
        <w:instrText xml:space="preserve"> REF _Ref163053239 \r \h </w:instrText>
      </w:r>
      <w:r>
        <w:fldChar w:fldCharType="separate"/>
      </w:r>
      <w:r>
        <w:t>(1)</w:t>
      </w:r>
      <w:r>
        <w:fldChar w:fldCharType="end"/>
      </w:r>
      <w:r>
        <w:t xml:space="preserve">. But the total enzyme concentration (bound + unbound) is a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t>, in which case</w:t>
      </w:r>
    </w:p>
    <w:p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⟹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mr>
          </m:m>
        </m:oMath>
      </m:oMathPara>
    </w:p>
    <w:p>
      <w:r>
        <w:t>This gives us an approximate value for the rate of the reaction:</w:t>
      </w:r>
    </w:p>
    <w:p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cat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cat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is the maximum reaction rate. This is the </w:t>
      </w:r>
      <w:r>
        <w:rPr>
          <w:b/>
          <w:i/>
        </w:rPr>
        <w:t>Michaelis-Menten equation</w:t>
      </w:r>
      <w:r>
        <w:t xml:space="preserve"> for reaction </w:t>
      </w:r>
      <w:r>
        <w:fldChar w:fldCharType="begin"/>
      </w:r>
      <w:r>
        <w:instrText xml:space="preserve"> REF _Ref163053239 \r \h </w:instrText>
      </w:r>
      <w:r>
        <w:fldChar w:fldCharType="separate"/>
      </w:r>
      <w:r>
        <w:t>(1)</w:t>
      </w:r>
      <w:r>
        <w:fldChar w:fldCharType="end"/>
      </w:r>
      <w:r>
        <w:t>.</w:t>
      </w:r>
    </w:p>
    <w:bookmarkStart w:id="5" w:name="_Ref239750018"/>
    <w:bookmarkStart w:id="6" w:name="_Ref163066486"/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799465</wp:posOffset>
                </wp:positionV>
                <wp:extent cx="2546350" cy="914400"/>
                <wp:effectExtent l="0" t="0" r="25400" b="19050"/>
                <wp:wrapSquare wrapText="bothSides"/>
                <wp:docPr id="99" name="Canvas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81" name="Isosceles Triangle 81"/>
                        <wps:cNvSpPr/>
                        <wps:spPr>
                          <a:xfrm>
                            <a:off x="1250951" y="716040"/>
                            <a:ext cx="114300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81" idx="0"/>
                          <a:endCxn id="234" idx="2"/>
                        </wps:cNvCnPr>
                        <wps:spPr>
                          <a:xfrm flipH="1" flipV="1">
                            <a:off x="1268029" y="492761"/>
                            <a:ext cx="40072" cy="2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5"/>
                        <wps:cNvSpPr txBox="1"/>
                        <wps:spPr>
                          <a:xfrm flipH="1">
                            <a:off x="1308101" y="601740"/>
                            <a:ext cx="3482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1933508" y="249747"/>
                            <a:ext cx="535940" cy="25664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157221" y="275591"/>
                            <a:ext cx="221615" cy="217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Arrow Connector 235"/>
                        <wps:cNvCnPr>
                          <a:stCxn id="234" idx="3"/>
                          <a:endCxn id="229" idx="2"/>
                        </wps:cNvCnPr>
                        <wps:spPr>
                          <a:xfrm flipV="1">
                            <a:off x="1378836" y="378068"/>
                            <a:ext cx="554672" cy="610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87"/>
                        <wps:cNvSpPr txBox="1"/>
                        <wps:spPr>
                          <a:xfrm>
                            <a:off x="511878" y="1"/>
                            <a:ext cx="1462971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r=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max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 xml:space="preserve"> mm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,x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9080" y="249747"/>
                            <a:ext cx="535940" cy="26831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6"/>
                          <a:endCxn id="234" idx="1"/>
                        </wps:cNvCnPr>
                        <wps:spPr>
                          <a:xfrm>
                            <a:off x="605020" y="383903"/>
                            <a:ext cx="552201" cy="273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99" o:spid="_x0000_s1027" editas="canvas" style="position:absolute;left:0;text-align:left;margin-left:282.05pt;margin-top:62.95pt;width:200.5pt;height:1in;z-index:251658240;mso-width-relative:margin;mso-height-relative:margin" coordsize="2546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">
                <v:shape id="_x0000_s1028" type="#_x0000_t75" style="position:absolute;width:25463;height:9144;visibility:visible;mso-wrap-style:square" stroked="t" strokecolor="black [3213]" strokeweight="1pt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1" o:spid="_x0000_s1029" type="#_x0000_t5" style="position:absolute;left:12509;top:716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" fillcolor="white [3212]" strokecolor="black [3213]" strokeweight="1pt">
                  <v:textbox inset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" o:spid="_x0000_s1030" type="#_x0000_t32" style="position:absolute;left:12680;top:4927;width:401;height:22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" strokecolor="black [3213]" strokeweight=".5pt">
                  <v:stroke endarrow="classic" endarrowwidth="wide" endarrowlength="long" joinstyle="miter"/>
                </v:shape>
                <v:shape id="Text Box 5" o:spid="_x0000_s1031" type="#_x0000_t202" style="position:absolute;left:13081;top:6017;width:3482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229" o:spid="_x0000_s1032" style="position:absolute;left:19335;top:2497;width:535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rect id="Rectangle 234" o:spid="_x0000_s1033" style="position:absolute;left:11572;top:2755;width:2216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" fillcolor="white [3201]" strokecolor="black [3213]" strokeweight="1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rect>
                <v:shape id="Straight Arrow Connector 235" o:spid="_x0000_s1034" type="#_x0000_t32" style="position:absolute;left:13788;top:3780;width:5547;height: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" strokecolor="black [3200]" strokeweight="2pt">
                  <v:stroke endarrow="block" endarrowwidth="wide" endarrowlength="long" joinstyle="miter"/>
                </v:shape>
                <v:shape id="Text Box 87" o:spid="_x0000_s1035" type="#_x0000_t202" style="position:absolute;left:5118;width:14630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hQ1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DV3hQ1wgAAANwAAAAPAAAA&#10;AAAAAAAAAAAAAAcCAABkcnMvZG93bnJldi54bWxQSwUGAAAAAAMAAwC3AAAA9gIAAAAA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inorHAnsi"/>
                              </w:rPr>
                              <m:t>r=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 xml:space="preserve"> mm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7" o:spid="_x0000_s1036" style="position:absolute;left:690;top:2497;width:536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28" o:spid="_x0000_s1037" type="#_x0000_t32" style="position:absolute;left:6050;top:3839;width:5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" strokecolor="black [3200]" strokeweight="2pt">
                  <v:stroke endarrow="block" endarrowwidth="wide" endarrowlength="long" joinstyle="miter"/>
                </v:shape>
                <w10:wrap type="square"/>
              </v:group>
            </w:pict>
          </mc:Fallback>
        </mc:AlternateContent>
      </w:r>
      <w:r>
        <w:t xml:space="preserve">Create in the julia console a function </w:t>
      </w:r>
      <m:oMath>
        <m:r>
          <w:rPr>
            <w:rFonts w:ascii="Cambria Math" w:hAnsi="Cambria Math"/>
          </w:rPr>
          <m:t>mm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,x</m:t>
            </m:r>
          </m:e>
        </m:d>
      </m:oMath>
      <w:r>
        <w:t xml:space="preserve"> that implements the bracketed expression in the Michaelis-Menten (MM) equation. Then use </w:t>
      </w:r>
      <w:r>
        <w:rPr>
          <w:b/>
        </w:rPr>
        <w:t>GLMakie.lines()</w:t>
      </w:r>
      <w:r>
        <w:t xml:space="preserve"> to plot the </w:t>
      </w:r>
      <m:oMath>
        <m:r>
          <w:rPr>
            <w:rFonts w:ascii="Cambria Math" w:hAnsi="Cambria Math"/>
          </w:rPr>
          <m:t>mm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function against </w:t>
      </w:r>
      <m:oMath>
        <m:r>
          <w:rPr>
            <w:rFonts w:ascii="Cambria Math" w:hAnsi="Cambria Math"/>
          </w:rPr>
          <m:t>x</m:t>
        </m:r>
      </m:oMath>
      <w:r>
        <w:t xml:space="preserve">, and so verify each of the following three statements: (a) </w:t>
      </w:r>
      <m:oMath>
        <m:r>
          <w:rPr>
            <w:rFonts w:ascii="Cambria Math" w:hAnsi="Cambria Math"/>
          </w:rPr>
          <m:t>mm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is a </w:t>
      </w:r>
      <w:r>
        <w:rPr>
          <w:b/>
          <w:i/>
        </w:rPr>
        <w:t>saturating</w:t>
      </w:r>
      <w:r>
        <w:rPr>
          <w:b/>
        </w:rPr>
        <w:t xml:space="preserve"> </w:t>
      </w:r>
      <w:r>
        <w:t xml:space="preserve">function of </w:t>
      </w:r>
      <m:oMath>
        <m:r>
          <w:rPr>
            <w:rFonts w:ascii="Cambria Math" w:hAnsi="Cambria Math"/>
          </w:rPr>
          <m:t>x</m:t>
        </m:r>
      </m:oMath>
      <w:r>
        <w:t xml:space="preserve">; (b) the </w:t>
      </w:r>
      <w:r>
        <w:rPr>
          <w:b/>
          <w:i/>
        </w:rPr>
        <w:t>least upper bound</w:t>
      </w:r>
      <w:r>
        <w:rPr>
          <w:b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mm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is 1; 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</w:t>
      </w:r>
      <w:r>
        <w:rPr>
          <w:b/>
          <w:i/>
        </w:rPr>
        <w:t>half-response</w:t>
      </w:r>
      <w:r>
        <w:rPr>
          <w:b/>
        </w:rPr>
        <w:t xml:space="preserve"> </w:t>
      </w:r>
      <w:r>
        <w:t xml:space="preserve">value of </w:t>
      </w:r>
      <m:oMath>
        <m:r>
          <w:rPr>
            <w:rFonts w:ascii="Cambria Math" w:hAnsi="Cambria Math"/>
          </w:rPr>
          <m:t>x</m:t>
        </m:r>
      </m:oMath>
      <w:r>
        <w:t xml:space="preserve"> in the function</w:t>
      </w:r>
      <w:bookmarkEnd w:id="5"/>
      <w:r>
        <w:t xml:space="preserve"> </w:t>
      </w:r>
      <m:oMath>
        <m:r>
          <w:rPr>
            <w:rFonts w:ascii="Cambria Math" w:hAnsi="Cambria Math"/>
          </w:rPr>
          <m:t>mm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>.</w:t>
      </w:r>
      <w:bookmarkEnd w:id="6"/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Calculate the Michaelis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and the maximum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for our lactose breakdown model. On the right is an SPD of the MM model: implement it in </w:t>
      </w:r>
      <w:r>
        <w:rPr>
          <w:b/>
        </w:rPr>
        <w:t>CellularCognition</w:t>
      </w:r>
      <w:r>
        <w:t xml:space="preserve"> as a second </w:t>
      </w:r>
      <w:r>
        <w:rPr>
          <w:b/>
        </w:rPr>
        <w:t>KineticModel</w:t>
      </w:r>
      <w:r>
        <w:t xml:space="preserve">. Discuss the behaviour differences between this model and that of exercise </w:t>
      </w:r>
      <w:r>
        <w:fldChar w:fldCharType="begin"/>
      </w:r>
      <w:r>
        <w:instrText xml:space="preserve"> REF _Ref163058772 \r \h </w:instrText>
      </w:r>
      <w:r>
        <w:fldChar w:fldCharType="separate"/>
      </w:r>
      <w:r>
        <w:t>(ii)</w:t>
      </w:r>
      <w:r>
        <w:fldChar w:fldCharType="end"/>
      </w:r>
      <w:r>
        <w:t>.</w:t>
      </w:r>
    </w:p>
    <w:p>
      <w:pPr>
        <w:pStyle w:val="Heading2"/>
      </w:pPr>
      <w:r>
        <w:t>How can I extend my skills?</w:t>
      </w:r>
    </w:p>
    <w:p>
      <w:r>
        <w:t xml:space="preserve">There is another way of viewing the MM equation. Imagine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now as the gene for protein </w:t>
      </w:r>
      <m:oMath>
        <m:r>
          <w:rPr>
            <w:rFonts w:ascii="Cambria Math" w:hAnsi="Cambria Math"/>
          </w:rPr>
          <m:t>Y</m:t>
        </m:r>
      </m:oMath>
      <w:r>
        <w:t xml:space="preserve">, together with its promoter. When a regulator molecule </w:t>
      </w:r>
      <m:oMath>
        <m:r>
          <w:rPr>
            <w:rFonts w:ascii="Cambria Math" w:hAnsi="Cambria Math"/>
          </w:rPr>
          <m:t>X</m:t>
        </m:r>
      </m:oMath>
      <w:r>
        <w:t xml:space="preserve"> binds to this promoter, it activates or inhibits the gene by forming the new complex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. This is exactly analogous to our lactose-breakdown situation above, and again we can describe this regulation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using the same kind of saturating function that you explored in exercise </w:t>
      </w:r>
      <w:r>
        <w:fldChar w:fldCharType="begin"/>
      </w:r>
      <w:r>
        <w:instrText xml:space="preserve"> REF _Ref163066486 \r \h </w:instrText>
      </w:r>
      <w:r>
        <w:fldChar w:fldCharType="separate"/>
      </w:r>
      <w:r>
        <w:t>(v)</w:t>
      </w:r>
      <w:r>
        <w:fldChar w:fldCharType="end"/>
      </w:r>
      <w:r>
        <w:t>:</w:t>
      </w:r>
    </w:p>
    <w:p>
      <w:pPr>
        <w:pStyle w:val="ListParagraph"/>
        <w:numPr>
          <w:ilvl w:val="0"/>
          <w:numId w:val="15"/>
        </w:numPr>
      </w:pPr>
      <w:r>
        <w:t xml:space="preserve">The factor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K+X</m:t>
            </m:r>
          </m:den>
        </m:f>
      </m:oMath>
      <w:r>
        <w:t xml:space="preserve"> describes </w:t>
      </w:r>
      <w:r>
        <w:rPr>
          <w:b/>
          <w:i/>
        </w:rPr>
        <w:t>activation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from 0 to 1 with increasing concentrations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>
      <w:pPr>
        <w:pStyle w:val="ListParagraph"/>
        <w:numPr>
          <w:ilvl w:val="0"/>
          <w:numId w:val="15"/>
        </w:numPr>
      </w:pPr>
      <w:r>
        <w:t xml:space="preserve">The factor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K+X</m:t>
            </m:r>
          </m:den>
        </m:f>
      </m:oMath>
      <w:r>
        <w:t xml:space="preserve"> describes </w:t>
      </w:r>
      <w:r>
        <w:rPr>
          <w:b/>
          <w:i/>
        </w:rPr>
        <w:t>inhibition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from 1 to 0 with increasing concentrations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>
      <w:r>
        <w:t>In general, however, several (</w:t>
      </w:r>
      <m:oMath>
        <m:r>
          <w:rPr>
            <w:rFonts w:ascii="Cambria Math" w:hAnsi="Cambria Math"/>
          </w:rPr>
          <m:t>n</m:t>
        </m:r>
      </m:oMath>
      <w:r>
        <w:t xml:space="preserve">) regulator molecules may need to cooperate in order to regulate a gene, and we describe this more general situation using the saturating </w:t>
      </w:r>
      <w:r>
        <w:rPr>
          <w:b/>
          <w:i/>
        </w:rPr>
        <w:t>Hill function</w:t>
      </w:r>
      <w:r>
        <w:t>:</w:t>
      </w:r>
    </w:p>
    <w:p>
      <m:oMathPara>
        <m:oMath>
          <m:r>
            <w:rPr>
              <w:rFonts w:ascii="Cambria Math" w:hAnsi="Cambria Math"/>
            </w:rPr>
            <m:t>hill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x,K=1,n=1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K≥0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K&lt;0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7" w:name="_Ref147219562"/>
      <w:bookmarkStart w:id="8" w:name="_Ref239755503"/>
      <w:bookmarkStart w:id="9" w:name="_Ref159666990"/>
      <w:r>
        <w:t xml:space="preserve">Implement the Hill function in Julia: positive half-response values </w:t>
      </w:r>
      <m:oMath>
        <m:r>
          <w:rPr>
            <w:rFonts w:ascii="Cambria Math" w:hAnsi="Cambria Math"/>
          </w:rPr>
          <m:t>K</m:t>
        </m:r>
      </m:oMath>
      <w:r>
        <w:t xml:space="preserve"> denote activation, while negative values denote inhibition. Test your function at the console by plotting graphs</w:t>
      </w:r>
      <w:bookmarkEnd w:id="7"/>
      <w:bookmarkEnd w:id="8"/>
      <w:r>
        <w:t xml:space="preserve"> to verify the following statements about the Hill function: (a) </w:t>
      </w:r>
      <m:oMath>
        <m:r>
          <w:rPr>
            <w:rFonts w:ascii="Cambria Math" w:hAnsi="Cambria Math"/>
          </w:rPr>
          <m:t>hill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x,K,1</m:t>
            </m:r>
          </m:e>
        </m:d>
      </m:oMath>
      <w:r>
        <w:t xml:space="preserve"> implements the above </w:t>
      </w:r>
      <w:r>
        <w:lastRenderedPageBreak/>
        <w:t xml:space="preserve">activation and inhibition factors; (b) </w:t>
      </w:r>
      <m:oMath>
        <m:r>
          <w:rPr>
            <w:rFonts w:ascii="Cambria Math" w:hAnsi="Cambria Math"/>
          </w:rPr>
          <m:t>K</m:t>
        </m:r>
      </m:oMath>
      <w:r>
        <w:t xml:space="preserve"> is the half-response level of </w:t>
      </w:r>
      <m:oMath>
        <m:r>
          <w:rPr>
            <w:rFonts w:ascii="Cambria Math" w:hAnsi="Cambria Math"/>
          </w:rPr>
          <m:t>x</m:t>
        </m:r>
      </m:oMath>
      <w:r>
        <w:t xml:space="preserve">; (c) </w:t>
      </w:r>
      <m:oMath>
        <m:r>
          <w:rPr>
            <w:rFonts w:ascii="Cambria Math" w:hAnsi="Cambria Math"/>
          </w:rPr>
          <m:t>n</m:t>
        </m:r>
      </m:oMath>
      <w:r>
        <w:t xml:space="preserve"> (the </w:t>
      </w:r>
      <w:r>
        <w:rPr>
          <w:b/>
          <w:i/>
        </w:rPr>
        <w:t>cooperativity</w:t>
      </w:r>
      <w:r>
        <w:t>) controls the abruptness of the Hill function's step-like shape.</w:t>
      </w:r>
    </w:p>
    <w:bookmarkEnd w:id="9"/>
    <w:p>
      <w:pPr>
        <w:pStyle w:val="Heading2"/>
      </w:pPr>
      <w:r>
        <w:t>How can I deepen my practice of the skills?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0" w:name="_Ref163069424"/>
      <w:r>
        <w:t xml:space="preserve">The concentration of all gene products decreases over time due to dilution and breakdown. Suppose </w:t>
      </w:r>
      <w:bookmarkStart w:id="11" w:name="_Ref159857726"/>
      <m:oMath>
        <m:r>
          <w:rPr>
            <w:rFonts w:ascii="Cambria Math" w:hAnsi="Cambria Math"/>
          </w:rPr>
          <m:t>β</m:t>
        </m:r>
      </m:oMath>
      <w:r>
        <w:t xml:space="preserve"> is </w:t>
      </w:r>
      <w:r>
        <w:rPr>
          <w:rFonts w:cs="Arial"/>
        </w:rPr>
        <w:t xml:space="preserve">the </w:t>
      </w:r>
      <w:r>
        <w:rPr>
          <w:rFonts w:cs="Arial"/>
          <w:i/>
        </w:rPr>
        <w:t>constant</w:t>
      </w:r>
      <w:r>
        <w:rPr>
          <w:rFonts w:cs="Arial"/>
        </w:rPr>
        <w:t xml:space="preserve"> expression rate of some gene product </w:t>
      </w:r>
      <m:oMath>
        <m:r>
          <w:rPr>
            <w:rFonts w:ascii="Cambria Math" w:hAnsi="Cambria Math" w:cs="Arial"/>
          </w:rPr>
          <m:t>X</m:t>
        </m:r>
      </m:oMath>
      <w:r>
        <w:rPr>
          <w:rFonts w:cs="Arial"/>
        </w:rPr>
        <w:t xml:space="preserve">, and that </w:t>
      </w:r>
      <m:oMath>
        <m:r>
          <w:rPr>
            <w:rFonts w:ascii="Cambria Math" w:hAnsi="Cambria Math" w:cs="Arial"/>
          </w:rPr>
          <m:t>α</m:t>
        </m:r>
      </m:oMath>
      <w:r>
        <w:rPr>
          <w:rFonts w:cs="Arial"/>
        </w:rPr>
        <w:t xml:space="preserve"> is the </w:t>
      </w:r>
      <w:r>
        <w:t>breakdown</w:t>
      </w:r>
      <w:r>
        <w:rPr>
          <w:rFonts w:cs="Arial"/>
        </w:rPr>
        <w:t xml:space="preserve"> rate of </w:t>
      </w:r>
      <m:oMath>
        <m:r>
          <w:rPr>
            <w:rFonts w:ascii="Cambria Math" w:hAnsi="Cambria Math" w:cs="Arial"/>
          </w:rPr>
          <m:t>X</m:t>
        </m:r>
      </m:oMath>
      <w:r>
        <w:rPr>
          <w:rFonts w:cs="Arial"/>
        </w:rPr>
        <w:t>.</w:t>
      </w:r>
      <w:r>
        <w:t xml:space="preserve"> Derive the differential equation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=β-αx</m:t>
        </m:r>
      </m:oMath>
      <w:r>
        <w:t xml:space="preserve"> for the concentration </w:t>
      </w:r>
      <m:oMath>
        <m:r>
          <w:rPr>
            <w:rFonts w:ascii="Cambria Math" w:hAnsi="Cambria Math"/>
          </w:rPr>
          <m:t>x≡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and prove that as </w:t>
      </w:r>
      <m:oMath>
        <m:r>
          <w:rPr>
            <w:rFonts w:ascii="Cambria Math" w:hAnsi="Cambria Math"/>
          </w:rPr>
          <m:t>t→∞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t xml:space="preserve"> approaches the stable equilibrium value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>
        <w:t>.</w:t>
      </w:r>
      <w:bookmarkEnd w:id="10"/>
      <w:bookmarkEnd w:id="11"/>
    </w:p>
    <w:p>
      <w:r>
        <w:t xml:space="preserve">Exercise </w:t>
      </w:r>
      <w:r>
        <w:fldChar w:fldCharType="begin"/>
      </w:r>
      <w:r>
        <w:instrText xml:space="preserve"> REF _Ref163069424 \r \h </w:instrText>
      </w:r>
      <w:r>
        <w:fldChar w:fldCharType="separate"/>
      </w:r>
      <w:r>
        <w:t>(viii)</w:t>
      </w:r>
      <w:r>
        <w:fldChar w:fldCharType="end"/>
      </w:r>
      <w:r>
        <w:t xml:space="preserve"> shows us the importance of degradation for cellular information processing: the combination of constant expression </w:t>
      </w:r>
      <m:oMath>
        <m:r>
          <w:rPr>
            <w:rFonts w:ascii="Cambria Math" w:hAnsi="Cambria Math"/>
          </w:rPr>
          <m:t>β</m:t>
        </m:r>
      </m:oMath>
      <w:r>
        <w:t xml:space="preserve"> with exponential degradation constant </w:t>
      </w:r>
      <m:oMath>
        <m:r>
          <w:rPr>
            <w:rFonts w:ascii="Cambria Math" w:hAnsi="Cambria Math"/>
          </w:rPr>
          <m:t>β</m:t>
        </m:r>
      </m:oMath>
      <w:r>
        <w:t xml:space="preserve"> </w:t>
      </w:r>
      <w:r>
        <w:rPr>
          <w:i/>
        </w:rPr>
        <w:t>always</w:t>
      </w:r>
      <w:r>
        <w:t xml:space="preserve"> leads to a constant concentration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>
        <w:t xml:space="preserve"> for gene products; this value is then stored in the 'brain' of the cell.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2" w:name="_Ref159927966"/>
      <w:r>
        <w:t xml:space="preserve">In a certain experiment, researchers inserted three regulators into the DNA of </w:t>
      </w:r>
      <w:r>
        <w:rPr>
          <w:i/>
        </w:rPr>
        <w:t>E. coli</w:t>
      </w:r>
      <w:r>
        <w:t xml:space="preserve"> and connected them as an inhibition cycle: </w:t>
      </w:r>
      <m:oMath>
        <m:r>
          <w:rPr>
            <w:rFonts w:ascii="Cambria Math" w:hAnsi="Cambria Math"/>
          </w:rPr>
          <m:t>A</m:t>
        </m:r>
      </m:oMath>
      <w:r>
        <w:t xml:space="preserve"> inhibits </w:t>
      </w:r>
      <m:oMath>
        <m:r>
          <w:rPr>
            <w:rFonts w:ascii="Cambria Math" w:hAnsi="Cambria Math"/>
          </w:rPr>
          <m:t>B</m:t>
        </m:r>
      </m:oMath>
      <w:r>
        <w:t xml:space="preserve">, which inhibits </w:t>
      </w:r>
      <m:oMath>
        <m:r>
          <w:rPr>
            <w:rFonts w:ascii="Cambria Math" w:hAnsi="Cambria Math"/>
          </w:rPr>
          <m:t>C</m:t>
        </m:r>
      </m:oMath>
      <w:r>
        <w:t xml:space="preserve">, which inhibits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m:oMath>
        <m:r>
          <w:rPr>
            <w:rFonts w:ascii="Cambria Math" w:hAnsi="Cambria Math"/>
          </w:rPr>
          <m:t>C</m:t>
        </m:r>
      </m:oMath>
      <w:r>
        <w:t xml:space="preserve"> also activates the Green Fluorescent Protein gene </w:t>
      </w:r>
      <w:r>
        <w:rPr>
          <w:i/>
        </w:rPr>
        <w:t>GFP</w:t>
      </w:r>
      <w:r>
        <w:t xml:space="preserve">. In an experiment, protein </w:t>
      </w:r>
      <m:oMath>
        <m:r>
          <w:rPr>
            <w:rFonts w:ascii="Cambria Math" w:hAnsi="Cambria Math"/>
          </w:rPr>
          <m:t>A</m:t>
        </m:r>
      </m:oMath>
      <w:r>
        <w:t xml:space="preserve"> is initially present in the cell, while the concentrations of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are zero.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all have identical values for the degradation/dilution rate </w:t>
      </w:r>
      <m:oMath>
        <m:r>
          <w:rPr>
            <w:rFonts w:ascii="Cambria Math" w:hAnsi="Cambria Math"/>
          </w:rPr>
          <m:t>α</m:t>
        </m:r>
      </m:oMath>
      <w:r>
        <w:rPr>
          <w:rFonts w:cs="Arial"/>
        </w:rPr>
        <w:t xml:space="preserve">, maximum expression rate </w:t>
      </w:r>
      <m:oMath>
        <m:r>
          <w:rPr>
            <w:rFonts w:ascii="Cambria Math" w:hAnsi="Cambria Math" w:cs="Arial"/>
          </w:rPr>
          <m:t>β</m:t>
        </m:r>
      </m:oMath>
      <w:r>
        <w:rPr>
          <w:rFonts w:cs="Arial"/>
        </w:rPr>
        <w:t xml:space="preserve">, half-response constant </w:t>
      </w:r>
      <m:oMath>
        <m:r>
          <w:rPr>
            <w:rFonts w:ascii="Cambria Math" w:hAnsi="Cambria Math" w:cs="Arial"/>
          </w:rPr>
          <m:t>K</m:t>
        </m:r>
      </m:oMath>
      <w:r>
        <w:rPr>
          <w:rFonts w:cs="Arial"/>
        </w:rPr>
        <w:t xml:space="preserve"> and cooperativity </w:t>
      </w:r>
      <m:oMath>
        <m:r>
          <w:rPr>
            <w:rFonts w:ascii="Cambria Math" w:hAnsi="Cambria Math" w:cs="Arial"/>
          </w:rPr>
          <m:t>n</m:t>
        </m:r>
      </m:oMath>
      <w:r>
        <w:t xml:space="preserve">. </w:t>
      </w:r>
      <w:bookmarkEnd w:id="12"/>
      <w:r>
        <w:t xml:space="preserve">Build these parameter values into a new </w:t>
      </w:r>
      <w:r>
        <w:rPr>
          <w:b/>
        </w:rPr>
        <w:t>KineticModel</w:t>
      </w:r>
      <w:r>
        <w:t xml:space="preserve"> in </w:t>
      </w:r>
      <w:r>
        <w:rPr>
          <w:b/>
        </w:rPr>
        <w:t>CellularCognition</w:t>
      </w:r>
      <w:r>
        <w:t xml:space="preserve"> to discover what behaviour the researchers observed. (Hint: To start, keep the degradation rate fairly low.)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When you have discovered the nature of the GFP behaviour from the previous exercise, experiment with the Hill constant </w:t>
      </w:r>
      <m:oMath>
        <m:r>
          <w:rPr>
            <w:rFonts w:ascii="Cambria Math" w:hAnsi="Cambria Math"/>
          </w:rPr>
          <m:t>K</m:t>
        </m:r>
      </m:oMath>
      <w:r>
        <w:t xml:space="preserve">: what condition must </w:t>
      </w:r>
      <m:oMath>
        <m:r>
          <w:rPr>
            <w:rFonts w:ascii="Cambria Math" w:hAnsi="Cambria Math"/>
          </w:rPr>
          <m:t>K</m:t>
        </m:r>
      </m:oMath>
      <w:r>
        <w:t xml:space="preserve"> necessarily fulfil in order for the three genes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to generate this specific behaviour?</w:t>
      </w:r>
      <w:bookmarkStart w:id="13" w:name="_GoBack"/>
      <w:bookmarkEnd w:id="13"/>
    </w:p>
    <w:sect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66E"/>
    <w:multiLevelType w:val="hybridMultilevel"/>
    <w:tmpl w:val="2586DB9C"/>
    <w:lvl w:ilvl="0" w:tplc="332207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2FC5"/>
    <w:multiLevelType w:val="hybridMultilevel"/>
    <w:tmpl w:val="BF5CA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67034"/>
    <w:multiLevelType w:val="hybridMultilevel"/>
    <w:tmpl w:val="959629E0"/>
    <w:lvl w:ilvl="0" w:tplc="0407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2D16CF8"/>
    <w:multiLevelType w:val="hybridMultilevel"/>
    <w:tmpl w:val="BDF61B22"/>
    <w:lvl w:ilvl="0" w:tplc="5DB42AEA">
      <w:start w:val="1"/>
      <w:numFmt w:val="lowerRoman"/>
      <w:lvlText w:val="(%1)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CC2184"/>
    <w:multiLevelType w:val="hybridMultilevel"/>
    <w:tmpl w:val="06F414DA"/>
    <w:lvl w:ilvl="0" w:tplc="6B2E4C48">
      <w:start w:val="1"/>
      <w:numFmt w:val="lowerLetter"/>
      <w:pStyle w:val="Theorem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4E7E4F"/>
    <w:multiLevelType w:val="hybridMultilevel"/>
    <w:tmpl w:val="4AF27C6C"/>
    <w:lvl w:ilvl="0" w:tplc="BBF07CA4">
      <w:start w:val="1"/>
      <w:numFmt w:val="decimal"/>
      <w:pStyle w:val="Equation"/>
      <w:lvlText w:val="(%1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  <w:szCs w:val="22"/>
      </w:rPr>
    </w:lvl>
    <w:lvl w:ilvl="1" w:tplc="04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2"/>
        <w:szCs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311633"/>
    <w:multiLevelType w:val="hybridMultilevel"/>
    <w:tmpl w:val="B306883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92D78"/>
    <w:multiLevelType w:val="hybridMultilevel"/>
    <w:tmpl w:val="4F909C22"/>
    <w:lvl w:ilvl="0" w:tplc="37843638">
      <w:start w:val="2"/>
      <w:numFmt w:val="none"/>
      <w:pStyle w:val="Solution"/>
      <w:lvlText w:val="Solution: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E7547"/>
    <w:multiLevelType w:val="hybridMultilevel"/>
    <w:tmpl w:val="DC4E1958"/>
    <w:lvl w:ilvl="0" w:tplc="DC34644E">
      <w:start w:val="1"/>
      <w:numFmt w:val="upperLetter"/>
      <w:pStyle w:val="Definition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4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2"/>
        <w:szCs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9A7E17"/>
    <w:multiLevelType w:val="hybridMultilevel"/>
    <w:tmpl w:val="5B8095B8"/>
    <w:lvl w:ilvl="0" w:tplc="0D92011E">
      <w:start w:val="1"/>
      <w:numFmt w:val="decimal"/>
      <w:pStyle w:val="Exercis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D80"/>
    <w:multiLevelType w:val="hybridMultilevel"/>
    <w:tmpl w:val="B806749C"/>
    <w:lvl w:ilvl="0" w:tplc="29CE409A">
      <w:start w:val="2"/>
      <w:numFmt w:val="none"/>
      <w:pStyle w:val="Proof"/>
      <w:lvlText w:val="Proof: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775F4C"/>
    <w:multiLevelType w:val="hybridMultilevel"/>
    <w:tmpl w:val="06FA231E"/>
    <w:lvl w:ilvl="0" w:tplc="F8B61460">
      <w:start w:val="205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45998"/>
    <w:multiLevelType w:val="hybridMultilevel"/>
    <w:tmpl w:val="2022228C"/>
    <w:lvl w:ilvl="0" w:tplc="3584700C">
      <w:start w:val="1"/>
      <w:numFmt w:val="decimal"/>
      <w:pStyle w:val="Example"/>
      <w:lvlText w:val="Example 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  <w:lvlOverride w:ilvl="0">
      <w:startOverride w:val="1"/>
    </w:lvlOverride>
  </w:num>
  <w:num w:numId="3">
    <w:abstractNumId w:val="12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1453086-2221-4EC1-8618-6ACB859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eastAsia="en-GB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paragraph" w:customStyle="1" w:styleId="Exercise">
    <w:name w:val="Exercise"/>
    <w:basedOn w:val="Normal"/>
    <w:link w:val="ExerciseZchn"/>
    <w:qFormat/>
    <w:pPr>
      <w:numPr>
        <w:numId w:val="2"/>
      </w:num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2"/>
      <w:szCs w:val="22"/>
      <w:lang w:val="de-DE"/>
    </w:rPr>
  </w:style>
  <w:style w:type="character" w:customStyle="1" w:styleId="ExerciseZchn">
    <w:name w:val="Exercise Zchn"/>
    <w:basedOn w:val="DefaultParagraphFont"/>
    <w:link w:val="Exercise"/>
    <w:rPr>
      <w:rFonts w:eastAsiaTheme="minorHAnsi"/>
      <w:lang w:val="de-D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Example">
    <w:name w:val="Example"/>
    <w:basedOn w:val="Normal"/>
    <w:next w:val="Solution"/>
    <w:pPr>
      <w:numPr>
        <w:numId w:val="3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Solution">
    <w:name w:val="Solution"/>
    <w:basedOn w:val="Example"/>
    <w:next w:val="Normal"/>
    <w:pPr>
      <w:numPr>
        <w:numId w:val="4"/>
      </w:numPr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Theorem">
    <w:name w:val="Theorem"/>
    <w:basedOn w:val="Normal"/>
    <w:next w:val="Proof"/>
    <w:autoRedefine/>
    <w:pPr>
      <w:numPr>
        <w:numId w:val="6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Proof">
    <w:name w:val="Proof"/>
    <w:basedOn w:val="Normal"/>
    <w:next w:val="Normal"/>
    <w:autoRedefine/>
    <w:pPr>
      <w:numPr>
        <w:numId w:val="7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Definition">
    <w:name w:val="Definition"/>
    <w:basedOn w:val="Normal"/>
    <w:next w:val="Normal"/>
    <w:autoRedefine/>
    <w:pPr>
      <w:numPr>
        <w:numId w:val="8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Equation">
    <w:name w:val="Equation"/>
    <w:basedOn w:val="Normal"/>
    <w:next w:val="Normal"/>
    <w:autoRedefine/>
    <w:pPr>
      <w:numPr>
        <w:numId w:val="11"/>
      </w:numPr>
      <w:tabs>
        <w:tab w:val="right" w:pos="8505"/>
      </w:tabs>
      <w:spacing w:after="60"/>
    </w:pPr>
    <w:rPr>
      <w:rFonts w:ascii="Cambria Math" w:hAnsi="Cambria Math"/>
    </w:rPr>
  </w:style>
  <w:style w:type="paragraph" w:customStyle="1" w:styleId="Sourcecode">
    <w:name w:val="Sourcecode"/>
    <w:basedOn w:val="Normal"/>
    <w:pPr>
      <w:overflowPunct/>
      <w:spacing w:after="0"/>
      <w:jc w:val="left"/>
      <w:textAlignment w:val="auto"/>
    </w:pPr>
    <w:rPr>
      <w:rFonts w:ascii="Courier New" w:hAnsi="Courier New" w:cs="Courier New"/>
      <w:sz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94C0-F4A9-4838-AEF5-52D46F76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1156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59</cp:revision>
  <cp:lastPrinted>2024-04-18T10:03:00Z</cp:lastPrinted>
  <dcterms:created xsi:type="dcterms:W3CDTF">2018-08-24T09:21:00Z</dcterms:created>
  <dcterms:modified xsi:type="dcterms:W3CDTF">2024-04-18T10:04:00Z</dcterms:modified>
</cp:coreProperties>
</file>