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5F"/>
        </w:rPr>
        <w:t>Spotlight – Star Award Recognition Platform</w:t>
      </w:r>
    </w:p>
    <w:p>
      <w:r>
        <w:rPr>
          <w:b/>
          <w:sz w:val="28"/>
        </w:rPr>
        <w:t>Test Manual: Scenarios, Automated Suites, Setup, and CI</w:t>
      </w:r>
    </w:p>
    <w:p>
      <w:pPr>
        <w:spacing w:after="200"/>
      </w:pPr>
      <w:r>
        <w:t>This is a working manual for the full test program built for the Spotlight nomination review platform: the scenario catalog across four test perspectives (E2E, UI/GUI, Black-Box, UAT), the automated suites that implement them, a domain-level unit test suite for the core business logic, and everything needed to set up and run all of it in a new environment. Read Part 1 first if you just want to get the tests running; the rest is reference.</w:t>
      </w:r>
    </w:p>
    <w:p>
      <w:r>
        <w:rPr>
          <w:b/>
          <w:sz w:val="24"/>
        </w:rPr>
        <w:t>Contents</w:t>
      </w:r>
    </w:p>
    <w:p>
      <w:pPr>
        <w:pStyle w:val="ListBullet"/>
        <w:spacing w:after="60"/>
      </w:pPr>
      <w:r>
        <w:t>Part 1 — Quick Start: Running Everything</w:t>
      </w:r>
    </w:p>
    <w:p>
      <w:pPr>
        <w:pStyle w:val="ListBullet"/>
        <w:spacing w:after="60"/>
      </w:pPr>
      <w:r>
        <w:t>Part 2 — What Was Built (test suite overview, by tier)</w:t>
      </w:r>
    </w:p>
    <w:p>
      <w:pPr>
        <w:pStyle w:val="ListBullet"/>
        <w:spacing w:after="60"/>
      </w:pPr>
      <w:r>
        <w:t>Part 3 — Environment Setup, Per Tier</w:t>
      </w:r>
    </w:p>
    <w:p>
      <w:pPr>
        <w:pStyle w:val="ListBullet"/>
        <w:spacing w:after="60"/>
      </w:pPr>
      <w:r>
        <w:t>Part 4 — Scenario Catalog (E2E / UI-GUI / Black-Box / UAT)</w:t>
      </w:r>
    </w:p>
    <w:p>
      <w:pPr>
        <w:pStyle w:val="ListBullet"/>
        <w:spacing w:after="60"/>
      </w:pPr>
      <w:r>
        <w:t>Part 5 — Unit Test Suite (Domain Logic)</w:t>
      </w:r>
    </w:p>
    <w:p>
      <w:pPr>
        <w:pStyle w:val="ListBullet"/>
        <w:spacing w:after="60"/>
      </w:pPr>
      <w:r>
        <w:t>Part 6 — Continuous Integration</w:t>
      </w:r>
    </w:p>
    <w:p>
      <w:pPr>
        <w:pStyle w:val="ListBullet"/>
        <w:spacing w:after="60"/>
      </w:pPr>
      <w:r>
        <w:t>Part 7 — Findings Uncovered While Writing These Tests</w:t>
      </w:r>
    </w:p>
    <w:p>
      <w:r>
        <w:br w:type="page"/>
      </w:r>
    </w:p>
    <w:p>
      <w:pPr>
        <w:pStyle w:val="Heading1"/>
      </w:pPr>
      <w:r>
        <w:rPr>
          <w:color w:val="1F4E5F"/>
        </w:rPr>
        <w:t>Part 1 — Quick Start: Running Everything</w:t>
      </w:r>
    </w:p>
    <w:p>
      <w:pPr>
        <w:spacing w:after="200"/>
      </w:pPr>
      <w:r>
        <w:t>All commands below assume a working directory of the Spotlight project root (the folder containing pom.xml and mvnw).</w:t>
      </w:r>
    </w:p>
    <w:p>
      <w:r>
        <w:rPr>
          <w:b/>
        </w:rPr>
        <w:t>Java tests — unit, black-box API, and UAT (Cucumber), all in one command:</w:t>
      </w:r>
    </w:p>
    <w:p>
      <w:pPr>
        <w:spacing w:after="0" w:before="0"/>
        <w:shd w:val="clear" w:color="auto" w:fill="F3F3F3"/>
      </w:pPr>
      <w:r>
        <w:rPr>
          <w:rFonts w:ascii="Consolas" w:hAnsi="Consolas"/>
          <w:sz w:val="19"/>
        </w:rPr>
        <w:t>./mvnw test</w:t>
      </w:r>
    </w:p>
    <w:p>
      <w:pPr>
        <w:spacing w:after="80"/>
      </w:pPr>
    </w:p>
    <w:p>
      <w:pPr>
        <w:spacing w:after="200"/>
      </w:pPr>
      <w:r>
        <w:t>This runs all 141 Java tests: the domain unit tests, the black-box API suite, and the UAT scenarios. Reports land in target/surefire-reports/*.txt, and the UAT run additionally writes a readable HTML report to target/cucumber-report/uat-report.html.</w:t>
      </w:r>
    </w:p>
    <w:p>
      <w:r>
        <w:rPr>
          <w:b/>
        </w:rPr>
        <w:t>E2E and UI/GUI tests (Playwright) — first-time setup:</w:t>
      </w:r>
    </w:p>
    <w:p>
      <w:pPr>
        <w:spacing w:after="0" w:before="0"/>
        <w:shd w:val="clear" w:color="auto" w:fill="F3F3F3"/>
      </w:pPr>
      <w:r>
        <w:rPr>
          <w:rFonts w:ascii="Consolas" w:hAnsi="Consolas"/>
          <w:sz w:val="19"/>
        </w:rPr>
        <w:t>cd e2e</w:t>
      </w:r>
    </w:p>
    <w:p>
      <w:pPr>
        <w:spacing w:after="0" w:before="0"/>
        <w:shd w:val="clear" w:color="auto" w:fill="F3F3F3"/>
      </w:pPr>
      <w:r>
        <w:rPr>
          <w:rFonts w:ascii="Consolas" w:hAnsi="Consolas"/>
          <w:sz w:val="19"/>
        </w:rPr>
        <w:t>npm install</w:t>
      </w:r>
    </w:p>
    <w:p>
      <w:pPr>
        <w:spacing w:after="0" w:before="0"/>
        <w:shd w:val="clear" w:color="auto" w:fill="F3F3F3"/>
      </w:pPr>
      <w:r>
        <w:rPr>
          <w:rFonts w:ascii="Consolas" w:hAnsi="Consolas"/>
          <w:sz w:val="19"/>
        </w:rPr>
        <w:t>npx playwright install chromium</w:t>
      </w:r>
    </w:p>
    <w:p>
      <w:pPr>
        <w:spacing w:after="80"/>
      </w:pPr>
    </w:p>
    <w:p>
      <w:r>
        <w:rPr>
          <w:b/>
        </w:rPr>
        <w:t>E2E and UI/GUI tests — run:</w:t>
      </w:r>
    </w:p>
    <w:p>
      <w:pPr>
        <w:spacing w:after="0" w:before="0"/>
        <w:shd w:val="clear" w:color="auto" w:fill="F3F3F3"/>
      </w:pPr>
      <w:r>
        <w:rPr>
          <w:rFonts w:ascii="Consolas" w:hAnsi="Consolas"/>
          <w:sz w:val="19"/>
        </w:rPr>
        <w:t>cd e2e</w:t>
      </w:r>
    </w:p>
    <w:p>
      <w:pPr>
        <w:spacing w:after="0" w:before="0"/>
        <w:shd w:val="clear" w:color="auto" w:fill="F3F3F3"/>
      </w:pPr>
      <w:r>
        <w:rPr>
          <w:rFonts w:ascii="Consolas" w:hAnsi="Consolas"/>
          <w:sz w:val="19"/>
        </w:rPr>
        <w:t>npm test</w:t>
      </w:r>
    </w:p>
    <w:p>
      <w:pPr>
        <w:spacing w:after="80"/>
      </w:pPr>
    </w:p>
    <w:p>
      <w:pPr>
        <w:spacing w:after="200"/>
      </w:pPr>
      <w:r>
        <w:t>This deletes any leftover e2e test database, boots the real app on an isolated Spring profile (port 8099, separate H2 file), and runs all 18 browser tests against it. See Part 3 for why this profile exists.</w:t>
      </w:r>
    </w:p>
    <w:p>
      <w:r>
        <w:rPr>
          <w:b/>
        </w:rPr>
        <w:t>Running just one piece:</w:t>
      </w:r>
    </w:p>
    <w:p>
      <w:pPr>
        <w:spacing w:after="0" w:before="0"/>
        <w:shd w:val="clear" w:color="auto" w:fill="F3F3F3"/>
      </w:pPr>
      <w:r>
        <w:rPr>
          <w:rFonts w:ascii="Consolas" w:hAnsi="Consolas"/>
          <w:sz w:val="19"/>
        </w:rPr>
        <w:t>./mvnw test -Dtest=NominationApiBlackBoxTest   # black-box only</w:t>
      </w:r>
    </w:p>
    <w:p>
      <w:pPr>
        <w:spacing w:after="0" w:before="0"/>
        <w:shd w:val="clear" w:color="auto" w:fill="F3F3F3"/>
      </w:pPr>
      <w:r>
        <w:rPr>
          <w:rFonts w:ascii="Consolas" w:hAnsi="Consolas"/>
          <w:sz w:val="19"/>
        </w:rPr>
        <w:t>./mvnw test -Dtest=RunCucumberTest             # UAT only</w:t>
      </w:r>
    </w:p>
    <w:p>
      <w:pPr>
        <w:spacing w:after="0" w:before="0"/>
        <w:shd w:val="clear" w:color="auto" w:fill="F3F3F3"/>
      </w:pPr>
      <w:r>
        <w:rPr>
          <w:rFonts w:ascii="Consolas" w:hAnsi="Consolas"/>
          <w:sz w:val="19"/>
        </w:rPr>
        <w:t>./mvnw test -Dtest=QuarterTest                 # a single unit test class</w:t>
      </w:r>
    </w:p>
    <w:p>
      <w:pPr>
        <w:spacing w:after="0" w:before="0"/>
        <w:shd w:val="clear" w:color="auto" w:fill="F3F3F3"/>
      </w:pPr>
      <w:r>
        <w:rPr>
          <w:rFonts w:ascii="Consolas" w:hAnsi="Consolas"/>
          <w:sz w:val="19"/>
        </w:rPr>
        <w:t xml:space="preserve"> </w:t>
      </w:r>
    </w:p>
    <w:p>
      <w:pPr>
        <w:spacing w:after="0" w:before="0"/>
        <w:shd w:val="clear" w:color="auto" w:fill="F3F3F3"/>
      </w:pPr>
      <w:r>
        <w:rPr>
          <w:rFonts w:ascii="Consolas" w:hAnsi="Consolas"/>
          <w:sz w:val="19"/>
        </w:rPr>
        <w:t>cd e2e &amp;&amp; npx playwright test tests/02-e2e-flows.spec.js   # E2E only</w:t>
      </w:r>
    </w:p>
    <w:p>
      <w:pPr>
        <w:spacing w:after="0" w:before="0"/>
        <w:shd w:val="clear" w:color="auto" w:fill="F3F3F3"/>
      </w:pPr>
      <w:r>
        <w:rPr>
          <w:rFonts w:ascii="Consolas" w:hAnsi="Consolas"/>
          <w:sz w:val="19"/>
        </w:rPr>
        <w:t>cd e2e &amp;&amp; npx playwright test tests/01-ui-gui.spec.js      # UI/GUI only</w:t>
      </w:r>
    </w:p>
    <w:p>
      <w:pPr>
        <w:spacing w:after="0" w:before="0"/>
        <w:shd w:val="clear" w:color="auto" w:fill="F3F3F3"/>
      </w:pPr>
      <w:r>
        <w:rPr>
          <w:rFonts w:ascii="Consolas" w:hAnsi="Consolas"/>
          <w:sz w:val="19"/>
        </w:rPr>
        <w:t>cd e2e &amp;&amp; npm run test:headed                              # watch it run in a real browser</w:t>
      </w:r>
    </w:p>
    <w:p>
      <w:pPr>
        <w:spacing w:after="0" w:before="0"/>
        <w:shd w:val="clear" w:color="auto" w:fill="F3F3F3"/>
      </w:pPr>
      <w:r>
        <w:rPr>
          <w:rFonts w:ascii="Consolas" w:hAnsi="Consolas"/>
          <w:sz w:val="19"/>
        </w:rPr>
        <w:t>cd e2e &amp;&amp; npm run test:ui                                  # Playwright's interactive step-through mode</w:t>
      </w:r>
    </w:p>
    <w:p>
      <w:pPr>
        <w:spacing w:after="80"/>
      </w:pPr>
    </w:p>
    <w:p>
      <w:r>
        <w:br w:type="page"/>
      </w:r>
    </w:p>
    <w:p>
      <w:pPr>
        <w:pStyle w:val="Heading1"/>
      </w:pPr>
      <w:r>
        <w:rPr>
          <w:color w:val="1F4E5F"/>
        </w:rPr>
        <w:t>Part 2 — What Was Built</w:t>
      </w:r>
    </w:p>
    <w:p>
      <w:pPr>
        <w:spacing w:after="200"/>
      </w:pPr>
      <w:r>
        <w:t>Four separate test tiers, each in its own tooling, each runnable independently, each isolated from the developer's own local database.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584"/>
            <w:shd w:val="clear" w:color="auto" w:fill="1F4E5F"/>
          </w:tcPr>
          <w:p>
            <w:r/>
            <w:r>
              <w:rPr>
                <w:b/>
                <w:color w:val="FFFFFF"/>
                <w:sz w:val="20"/>
              </w:rPr>
              <w:t>Tier</w:t>
            </w:r>
          </w:p>
        </w:tc>
        <w:tc>
          <w:tcPr>
            <w:tcW w:type="dxa" w:w="1008"/>
            <w:shd w:val="clear" w:color="auto" w:fill="1F4E5F"/>
          </w:tcPr>
          <w:p>
            <w:r/>
            <w:r>
              <w:rPr>
                <w:b/>
                <w:color w:val="FFFFFF"/>
                <w:sz w:val="20"/>
              </w:rPr>
              <w:t>Test count</w:t>
            </w:r>
          </w:p>
        </w:tc>
        <w:tc>
          <w:tcPr>
            <w:tcW w:type="dxa" w:w="2160"/>
            <w:shd w:val="clear" w:color="auto" w:fill="1F4E5F"/>
          </w:tcPr>
          <w:p>
            <w:r/>
            <w:r>
              <w:rPr>
                <w:b/>
                <w:color w:val="FFFFFF"/>
                <w:sz w:val="20"/>
              </w:rPr>
              <w:t>Tooling</w:t>
            </w:r>
          </w:p>
        </w:tc>
        <w:tc>
          <w:tcPr>
            <w:tcW w:type="dxa" w:w="2880"/>
            <w:shd w:val="clear" w:color="auto" w:fill="1F4E5F"/>
          </w:tcPr>
          <w:p>
            <w:r/>
            <w:r>
              <w:rPr>
                <w:b/>
                <w:color w:val="FFFFFF"/>
                <w:sz w:val="20"/>
              </w:rPr>
              <w:t>Location</w:t>
            </w:r>
          </w:p>
        </w:tc>
        <w:tc>
          <w:tcPr>
            <w:tcW w:type="dxa" w:w="2448"/>
            <w:shd w:val="clear" w:color="auto" w:fill="1F4E5F"/>
          </w:tcPr>
          <w:p>
            <w:r/>
            <w:r>
              <w:rPr>
                <w:b/>
                <w:color w:val="FFFFFF"/>
                <w:sz w:val="20"/>
              </w:rPr>
              <w:t>Notes</w:t>
            </w:r>
          </w:p>
        </w:tc>
      </w:tr>
      <w:tr>
        <w:tc>
          <w:tcPr>
            <w:tcW w:type="dxa" w:w="1584"/>
          </w:tcPr>
          <w:p>
            <w:pPr>
              <w:spacing w:after="40"/>
            </w:pPr>
            <w:r/>
            <w:r>
              <w:rPr>
                <w:sz w:val="19"/>
              </w:rPr>
              <w:t>Unit (domain logic)</w:t>
            </w:r>
          </w:p>
        </w:tc>
        <w:tc>
          <w:tcPr>
            <w:tcW w:type="dxa" w:w="1008"/>
          </w:tcPr>
          <w:p>
            <w:pPr>
              <w:spacing w:after="40"/>
            </w:pPr>
            <w:r/>
            <w:r>
              <w:rPr>
                <w:sz w:val="19"/>
              </w:rPr>
              <w:t>134</w:t>
            </w:r>
          </w:p>
        </w:tc>
        <w:tc>
          <w:tcPr>
            <w:tcW w:type="dxa" w:w="2160"/>
          </w:tcPr>
          <w:p>
            <w:pPr>
              <w:spacing w:after="40"/>
            </w:pPr>
            <w:r/>
            <w:r>
              <w:rPr>
                <w:sz w:val="19"/>
              </w:rPr>
              <w:t>JUnit 5 + Mockito + AssertJ</w:t>
            </w:r>
          </w:p>
        </w:tc>
        <w:tc>
          <w:tcPr>
            <w:tcW w:type="dxa" w:w="2880"/>
          </w:tcPr>
          <w:p>
            <w:pPr>
              <w:spacing w:after="40"/>
            </w:pPr>
            <w:r/>
            <w:r>
              <w:rPr>
                <w:sz w:val="19"/>
              </w:rPr>
              <w:t>src/test/java/.../nomination/**</w:t>
            </w:r>
          </w:p>
        </w:tc>
        <w:tc>
          <w:tcPr>
            <w:tcW w:type="dxa" w:w="2448"/>
          </w:tcPr>
          <w:p>
            <w:pPr>
              <w:spacing w:after="40"/>
            </w:pPr>
            <w:r/>
            <w:r>
              <w:rPr>
                <w:sz w:val="19"/>
              </w:rPr>
              <w:t>No Spring context — pure logic, fastest tier</w:t>
            </w:r>
          </w:p>
        </w:tc>
      </w:tr>
      <w:tr>
        <w:tc>
          <w:tcPr>
            <w:tcW w:type="dxa" w:w="1584"/>
            <w:shd w:val="clear" w:color="auto" w:fill="EEF3F5"/>
          </w:tcPr>
          <w:p>
            <w:pPr>
              <w:spacing w:after="40"/>
            </w:pPr>
            <w:r/>
            <w:r>
              <w:rPr>
                <w:sz w:val="19"/>
              </w:rPr>
              <w:t>Black-Box (API)</w:t>
            </w:r>
          </w:p>
        </w:tc>
        <w:tc>
          <w:tcPr>
            <w:tcW w:type="dxa" w:w="1008"/>
            <w:shd w:val="clear" w:color="auto" w:fill="EEF3F5"/>
          </w:tcPr>
          <w:p>
            <w:pPr>
              <w:spacing w:after="40"/>
            </w:pPr>
            <w:r/>
            <w:r>
              <w:rPr>
                <w:sz w:val="19"/>
              </w:rPr>
              <w:t>23</w:t>
            </w:r>
          </w:p>
        </w:tc>
        <w:tc>
          <w:tcPr>
            <w:tcW w:type="dxa" w:w="2160"/>
            <w:shd w:val="clear" w:color="auto" w:fill="EEF3F5"/>
          </w:tcPr>
          <w:p>
            <w:pPr>
              <w:spacing w:after="40"/>
            </w:pPr>
            <w:r/>
            <w:r>
              <w:rPr>
                <w:sz w:val="19"/>
              </w:rPr>
              <w:t>JUnit 5 + Spring TestRestTemplate</w:t>
            </w:r>
          </w:p>
        </w:tc>
        <w:tc>
          <w:tcPr>
            <w:tcW w:type="dxa" w:w="2880"/>
            <w:shd w:val="clear" w:color="auto" w:fill="EEF3F5"/>
          </w:tcPr>
          <w:p>
            <w:pPr>
              <w:spacing w:after="40"/>
            </w:pPr>
            <w:r/>
            <w:r>
              <w:rPr>
                <w:sz w:val="19"/>
              </w:rPr>
              <w:t>src/test/java/.../blackbox/</w:t>
            </w:r>
          </w:p>
        </w:tc>
        <w:tc>
          <w:tcPr>
            <w:tcW w:type="dxa" w:w="2448"/>
            <w:shd w:val="clear" w:color="auto" w:fill="EEF3F5"/>
          </w:tcPr>
          <w:p>
            <w:pPr>
              <w:spacing w:after="40"/>
            </w:pPr>
            <w:r/>
            <w:r>
              <w:rPr>
                <w:sz w:val="19"/>
              </w:rPr>
              <w:t>Real HTTP calls, isolated in-memory H2</w:t>
            </w:r>
          </w:p>
        </w:tc>
      </w:tr>
      <w:tr>
        <w:tc>
          <w:tcPr>
            <w:tcW w:type="dxa" w:w="1584"/>
          </w:tcPr>
          <w:p>
            <w:pPr>
              <w:spacing w:after="40"/>
            </w:pPr>
            <w:r/>
            <w:r>
              <w:rPr>
                <w:sz w:val="19"/>
              </w:rPr>
              <w:t>UAT</w:t>
            </w:r>
          </w:p>
        </w:tc>
        <w:tc>
          <w:tcPr>
            <w:tcW w:type="dxa" w:w="1008"/>
          </w:tcPr>
          <w:p>
            <w:pPr>
              <w:spacing w:after="40"/>
            </w:pPr>
            <w:r/>
            <w:r>
              <w:rPr>
                <w:sz w:val="19"/>
              </w:rPr>
              <w:t>11</w:t>
            </w:r>
          </w:p>
        </w:tc>
        <w:tc>
          <w:tcPr>
            <w:tcW w:type="dxa" w:w="2160"/>
          </w:tcPr>
          <w:p>
            <w:pPr>
              <w:spacing w:after="40"/>
            </w:pPr>
            <w:r/>
            <w:r>
              <w:rPr>
                <w:sz w:val="19"/>
              </w:rPr>
              <w:t>Cucumber (Gherkin) + JUnit 5 platform</w:t>
            </w:r>
          </w:p>
        </w:tc>
        <w:tc>
          <w:tcPr>
            <w:tcW w:type="dxa" w:w="2880"/>
          </w:tcPr>
          <w:p>
            <w:pPr>
              <w:spacing w:after="40"/>
            </w:pPr>
            <w:r/>
            <w:r>
              <w:rPr>
                <w:sz w:val="19"/>
              </w:rPr>
              <w:t>src/test/resources/features/, src/test/java/.../uat/</w:t>
            </w:r>
          </w:p>
        </w:tc>
        <w:tc>
          <w:tcPr>
            <w:tcW w:type="dxa" w:w="2448"/>
          </w:tcPr>
          <w:p>
            <w:pPr>
              <w:spacing w:after="40"/>
            </w:pPr>
            <w:r/>
            <w:r>
              <w:rPr>
                <w:sz w:val="19"/>
              </w:rPr>
              <w:t>Business-readable, same isolated H2</w:t>
            </w:r>
          </w:p>
        </w:tc>
      </w:tr>
      <w:tr>
        <w:tc>
          <w:tcPr>
            <w:tcW w:type="dxa" w:w="1584"/>
            <w:shd w:val="clear" w:color="auto" w:fill="EEF3F5"/>
          </w:tcPr>
          <w:p>
            <w:pPr>
              <w:spacing w:after="40"/>
            </w:pPr>
            <w:r/>
            <w:r>
              <w:rPr>
                <w:sz w:val="19"/>
              </w:rPr>
              <w:t>E2E</w:t>
            </w:r>
          </w:p>
        </w:tc>
        <w:tc>
          <w:tcPr>
            <w:tcW w:type="dxa" w:w="1008"/>
            <w:shd w:val="clear" w:color="auto" w:fill="EEF3F5"/>
          </w:tcPr>
          <w:p>
            <w:pPr>
              <w:spacing w:after="40"/>
            </w:pPr>
            <w:r/>
            <w:r>
              <w:rPr>
                <w:sz w:val="19"/>
              </w:rPr>
              <w:t>7</w:t>
            </w:r>
          </w:p>
        </w:tc>
        <w:tc>
          <w:tcPr>
            <w:tcW w:type="dxa" w:w="2160"/>
            <w:shd w:val="clear" w:color="auto" w:fill="EEF3F5"/>
          </w:tcPr>
          <w:p>
            <w:pPr>
              <w:spacing w:after="40"/>
            </w:pPr>
            <w:r/>
            <w:r>
              <w:rPr>
                <w:sz w:val="19"/>
              </w:rPr>
              <w:t>Playwright</w:t>
            </w:r>
          </w:p>
        </w:tc>
        <w:tc>
          <w:tcPr>
            <w:tcW w:type="dxa" w:w="2880"/>
            <w:shd w:val="clear" w:color="auto" w:fill="EEF3F5"/>
          </w:tcPr>
          <w:p>
            <w:pPr>
              <w:spacing w:after="40"/>
            </w:pPr>
            <w:r/>
            <w:r>
              <w:rPr>
                <w:sz w:val="19"/>
              </w:rPr>
              <w:t>e2e/tests/02-e2e-flows.spec.js</w:t>
            </w:r>
          </w:p>
        </w:tc>
        <w:tc>
          <w:tcPr>
            <w:tcW w:type="dxa" w:w="2448"/>
            <w:shd w:val="clear" w:color="auto" w:fill="EEF3F5"/>
          </w:tcPr>
          <w:p>
            <w:pPr>
              <w:spacing w:after="40"/>
            </w:pPr>
            <w:r/>
            <w:r>
              <w:rPr>
                <w:sz w:val="19"/>
              </w:rPr>
              <w:t>Full browser → API → DB journeys</w:t>
            </w:r>
          </w:p>
        </w:tc>
      </w:tr>
      <w:tr>
        <w:tc>
          <w:tcPr>
            <w:tcW w:type="dxa" w:w="1584"/>
          </w:tcPr>
          <w:p>
            <w:pPr>
              <w:spacing w:after="40"/>
            </w:pPr>
            <w:r/>
            <w:r>
              <w:rPr>
                <w:sz w:val="19"/>
              </w:rPr>
              <w:t>UI / GUI</w:t>
            </w:r>
          </w:p>
        </w:tc>
        <w:tc>
          <w:tcPr>
            <w:tcW w:type="dxa" w:w="1008"/>
          </w:tcPr>
          <w:p>
            <w:pPr>
              <w:spacing w:after="40"/>
            </w:pPr>
            <w:r/>
            <w:r>
              <w:rPr>
                <w:sz w:val="19"/>
              </w:rPr>
              <w:t>14</w:t>
            </w:r>
          </w:p>
        </w:tc>
        <w:tc>
          <w:tcPr>
            <w:tcW w:type="dxa" w:w="2160"/>
          </w:tcPr>
          <w:p>
            <w:pPr>
              <w:spacing w:after="40"/>
            </w:pPr>
            <w:r/>
            <w:r>
              <w:rPr>
                <w:sz w:val="19"/>
              </w:rPr>
              <w:t>Playwright</w:t>
            </w:r>
          </w:p>
        </w:tc>
        <w:tc>
          <w:tcPr>
            <w:tcW w:type="dxa" w:w="2880"/>
          </w:tcPr>
          <w:p>
            <w:pPr>
              <w:spacing w:after="40"/>
            </w:pPr>
            <w:r/>
            <w:r>
              <w:rPr>
                <w:sz w:val="19"/>
              </w:rPr>
              <w:t>e2e/tests/01-ui-gui.spec.js</w:t>
            </w:r>
          </w:p>
        </w:tc>
        <w:tc>
          <w:tcPr>
            <w:tcW w:type="dxa" w:w="2448"/>
          </w:tcPr>
          <w:p>
            <w:pPr>
              <w:spacing w:after="40"/>
            </w:pPr>
            <w:r/>
            <w:r>
              <w:rPr>
                <w:sz w:val="19"/>
              </w:rPr>
              <w:t>Interface behavior in isolation from business flow</w:t>
            </w:r>
          </w:p>
        </w:tc>
      </w:tr>
    </w:tbl>
    <w:p/>
    <w:p>
      <w:pPr>
        <w:spacing w:after="200"/>
      </w:pPr>
      <w:r>
        <w:t>Total: 168 Java tests (mvn test) + 21 Playwright tests (npm test) = 189 automated checks across five tiers.</w:t>
      </w:r>
    </w:p>
    <w:p>
      <w:r>
        <w:br w:type="page"/>
      </w:r>
    </w:p>
    <w:p>
      <w:pPr>
        <w:pStyle w:val="Heading1"/>
      </w:pPr>
      <w:r>
        <w:rPr>
          <w:color w:val="1F4E5F"/>
        </w:rPr>
        <w:t>Part 3 — Environment Setup, Per Tier</w:t>
      </w:r>
    </w:p>
    <w:p>
      <w:pPr>
        <w:pStyle w:val="Heading2"/>
      </w:pPr>
      <w:r>
        <w:rPr>
          <w:color w:val="1F4E5F"/>
        </w:rPr>
        <w:t>3.1 Prerequisites</w:t>
      </w:r>
    </w:p>
    <w:p>
      <w:pPr>
        <w:pStyle w:val="ListBullet"/>
        <w:spacing w:after="60"/>
      </w:pPr>
      <w:r>
        <w:t>Java 17 (the project's own requirement — see pom.xml &lt;java.version&gt;)</w:t>
      </w:r>
    </w:p>
    <w:p>
      <w:pPr>
        <w:pStyle w:val="ListBullet"/>
        <w:spacing w:after="60"/>
      </w:pPr>
      <w:r>
        <w:t>Maven — use the bundled ./mvnw wrapper, no separate Maven install needed</w:t>
      </w:r>
    </w:p>
    <w:p>
      <w:pPr>
        <w:pStyle w:val="ListBullet"/>
        <w:spacing w:after="60"/>
      </w:pPr>
      <w:r>
        <w:t>Node.js and npm — only required for the e2e/ (Playwright) tier</w:t>
      </w:r>
    </w:p>
    <w:p>
      <w:pPr>
        <w:spacing w:after="200"/>
      </w:pPr>
      <w:r>
        <w:t>Note: mvnw must be executable (chmod +x mvnw). If you see "permission denied" running ./mvnw, that's why — this was actually hit once while building this suite.</w:t>
      </w:r>
    </w:p>
    <w:p>
      <w:pPr>
        <w:pStyle w:val="Heading2"/>
      </w:pPr>
      <w:r>
        <w:rPr>
          <w:color w:val="1F4E5F"/>
        </w:rPr>
        <w:t>3.2 Isolated database profiles — why three, and what each is for</w:t>
      </w:r>
    </w:p>
    <w:p>
      <w:pPr>
        <w:spacing w:after="200"/>
      </w:pPr>
      <w:r>
        <w:t>The app normally runs against a file-based H2 database at ./data/recognitiondb (see application.properties). None of the automated tests touch that file — each tier gets its own isolated profile so test runs never collide with, or pollute, real dev data or each other.</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152"/>
            <w:shd w:val="clear" w:color="auto" w:fill="1F4E5F"/>
          </w:tcPr>
          <w:p>
            <w:r/>
            <w:r>
              <w:rPr>
                <w:b/>
                <w:color w:val="FFFFFF"/>
                <w:sz w:val="20"/>
              </w:rPr>
              <w:t>Profile</w:t>
            </w:r>
          </w:p>
        </w:tc>
        <w:tc>
          <w:tcPr>
            <w:tcW w:type="dxa" w:w="3312"/>
            <w:shd w:val="clear" w:color="auto" w:fill="1F4E5F"/>
          </w:tcPr>
          <w:p>
            <w:r/>
            <w:r>
              <w:rPr>
                <w:b/>
                <w:color w:val="FFFFFF"/>
                <w:sz w:val="20"/>
              </w:rPr>
              <w:t>File</w:t>
            </w:r>
          </w:p>
        </w:tc>
        <w:tc>
          <w:tcPr>
            <w:tcW w:type="dxa" w:w="3744"/>
            <w:shd w:val="clear" w:color="auto" w:fill="1F4E5F"/>
          </w:tcPr>
          <w:p>
            <w:r/>
            <w:r>
              <w:rPr>
                <w:b/>
                <w:color w:val="FFFFFF"/>
                <w:sz w:val="20"/>
              </w:rPr>
              <w:t>What it isolates</w:t>
            </w:r>
          </w:p>
        </w:tc>
        <w:tc>
          <w:tcPr>
            <w:tcW w:type="dxa" w:w="1872"/>
            <w:shd w:val="clear" w:color="auto" w:fill="1F4E5F"/>
          </w:tcPr>
          <w:p>
            <w:r/>
            <w:r>
              <w:rPr>
                <w:b/>
                <w:color w:val="FFFFFF"/>
                <w:sz w:val="20"/>
              </w:rPr>
              <w:t>Used by</w:t>
            </w:r>
          </w:p>
        </w:tc>
      </w:tr>
      <w:tr>
        <w:tc>
          <w:tcPr>
            <w:tcW w:type="dxa" w:w="1152"/>
          </w:tcPr>
          <w:p>
            <w:pPr>
              <w:spacing w:after="40"/>
            </w:pPr>
            <w:r/>
            <w:r>
              <w:rPr>
                <w:sz w:val="19"/>
              </w:rPr>
              <w:t>blackbox</w:t>
            </w:r>
          </w:p>
        </w:tc>
        <w:tc>
          <w:tcPr>
            <w:tcW w:type="dxa" w:w="3312"/>
          </w:tcPr>
          <w:p>
            <w:pPr>
              <w:spacing w:after="40"/>
            </w:pPr>
            <w:r/>
            <w:r>
              <w:rPr>
                <w:sz w:val="19"/>
              </w:rPr>
              <w:t>src/test/resources/application-blackbox.properties</w:t>
            </w:r>
          </w:p>
        </w:tc>
        <w:tc>
          <w:tcPr>
            <w:tcW w:type="dxa" w:w="3744"/>
          </w:tcPr>
          <w:p>
            <w:pPr>
              <w:spacing w:after="40"/>
            </w:pPr>
            <w:r/>
            <w:r>
              <w:rPr>
                <w:sz w:val="19"/>
              </w:rPr>
              <w:t>In-memory H2, empty Liquibase context (schema only, no demo seed rows), ai.evaluator=mock.</w:t>
            </w:r>
          </w:p>
        </w:tc>
        <w:tc>
          <w:tcPr>
            <w:tcW w:type="dxa" w:w="1872"/>
          </w:tcPr>
          <w:p>
            <w:pPr>
              <w:spacing w:after="40"/>
            </w:pPr>
            <w:r/>
            <w:r>
              <w:rPr>
                <w:sz w:val="19"/>
              </w:rPr>
              <w:t>NominationApiBlackBoxTest, RunCucumberTest (UAT)</w:t>
            </w:r>
          </w:p>
        </w:tc>
      </w:tr>
      <w:tr>
        <w:tc>
          <w:tcPr>
            <w:tcW w:type="dxa" w:w="1152"/>
            <w:shd w:val="clear" w:color="auto" w:fill="EEF3F5"/>
          </w:tcPr>
          <w:p>
            <w:pPr>
              <w:spacing w:after="40"/>
            </w:pPr>
            <w:r/>
            <w:r>
              <w:rPr>
                <w:sz w:val="19"/>
              </w:rPr>
              <w:t>e2e</w:t>
            </w:r>
          </w:p>
        </w:tc>
        <w:tc>
          <w:tcPr>
            <w:tcW w:type="dxa" w:w="3312"/>
            <w:shd w:val="clear" w:color="auto" w:fill="EEF3F5"/>
          </w:tcPr>
          <w:p>
            <w:pPr>
              <w:spacing w:after="40"/>
            </w:pPr>
            <w:r/>
            <w:r>
              <w:rPr>
                <w:sz w:val="19"/>
              </w:rPr>
              <w:t>src/main/resources/application-e2e.properties</w:t>
            </w:r>
          </w:p>
        </w:tc>
        <w:tc>
          <w:tcPr>
            <w:tcW w:type="dxa" w:w="3744"/>
            <w:shd w:val="clear" w:color="auto" w:fill="EEF3F5"/>
          </w:tcPr>
          <w:p>
            <w:pPr>
              <w:spacing w:after="40"/>
            </w:pPr>
            <w:r/>
            <w:r>
              <w:rPr>
                <w:sz w:val="19"/>
              </w:rPr>
              <w:t>File-based H2 at ./data/e2e-testdb (separate from the dev DB), port 8099 (separate from dev's 8080), demo context ON so the four fixed personas look realistic, ai.evaluator=mock.</w:t>
            </w:r>
          </w:p>
        </w:tc>
        <w:tc>
          <w:tcPr>
            <w:tcW w:type="dxa" w:w="1872"/>
            <w:shd w:val="clear" w:color="auto" w:fill="EEF3F5"/>
          </w:tcPr>
          <w:p>
            <w:pPr>
              <w:spacing w:after="40"/>
            </w:pPr>
            <w:r/>
            <w:r>
              <w:rPr>
                <w:sz w:val="19"/>
              </w:rPr>
              <w:t>Playwright's webServer, launched automatically via mvnw spring-boot:run</w:t>
            </w:r>
          </w:p>
        </w:tc>
      </w:tr>
    </w:tbl>
    <w:p/>
    <w:p>
      <w:pPr>
        <w:spacing w:after="200"/>
      </w:pPr>
      <w:r>
        <w:t>The e2e profile's database is file-based (unlike blackbox's in-memory one) because it needs to persist while the app runs as a real background server during a Playwright run, and it needs a clean starting point on every full run — e2e/package.json's pretest script (npm run clean-db → rm -rf ../data/e2e-testdb.*) deletes it automatically before npm test. This matters because the three fixed frontend personas (Sarah, Calvin, Jamie) can each submit only once per real calendar quarter — without the clean-db step, a second run would find them already "used up" from the first.</w:t>
      </w:r>
    </w:p>
    <w:p>
      <w:pPr>
        <w:pStyle w:val="Heading2"/>
      </w:pPr>
      <w:r>
        <w:rPr>
          <w:color w:val="1F4E5F"/>
        </w:rPr>
        <w:t>3.3 Setting up the Black-Box and UAT tiers</w:t>
      </w:r>
    </w:p>
    <w:p>
      <w:pPr>
        <w:spacing w:after="200"/>
      </w:pPr>
      <w:r>
        <w:t>Nothing to install beyond the JDK — they ride on spring-boot-starter-test, already a project dependency, plus three small Cucumber dependencies already added to pom.xml.</w:t>
      </w:r>
    </w:p>
    <w:p>
      <w:pPr>
        <w:spacing w:after="0" w:before="0"/>
        <w:shd w:val="clear" w:color="auto" w:fill="F3F3F3"/>
      </w:pPr>
      <w:r>
        <w:rPr>
          <w:rFonts w:ascii="Consolas" w:hAnsi="Consolas"/>
          <w:sz w:val="19"/>
        </w:rPr>
        <w:t>./mvnw test -Dtest=NominationApiBlackBoxTest,RunCucumberTest</w:t>
      </w:r>
    </w:p>
    <w:p>
      <w:pPr>
        <w:spacing w:after="80"/>
      </w:pPr>
    </w:p>
    <w:p>
      <w:pPr>
        <w:pStyle w:val="Heading2"/>
      </w:pPr>
      <w:r>
        <w:rPr>
          <w:color w:val="1F4E5F"/>
        </w:rPr>
        <w:t>3.4 Setting up the E2E / UI-GUI tier</w:t>
      </w:r>
    </w:p>
    <w:p>
      <w:pPr>
        <w:pStyle w:val="ListNumber"/>
        <w:spacing w:after="60"/>
      </w:pPr>
      <w:r>
        <w:t>cd e2e</w:t>
      </w:r>
    </w:p>
    <w:p>
      <w:pPr>
        <w:pStyle w:val="ListNumber"/>
        <w:spacing w:after="60"/>
      </w:pPr>
      <w:r>
        <w:t>npm install — installs @playwright/test from package.json / package-lock.json</w:t>
      </w:r>
    </w:p>
    <w:p>
      <w:pPr>
        <w:pStyle w:val="ListNumber"/>
        <w:spacing w:after="60"/>
      </w:pPr>
      <w:r>
        <w:t>npx playwright install chromium — downloads the actual browser binary (≈180 MB the first time; cached afterward)</w:t>
      </w:r>
    </w:p>
    <w:p>
      <w:pPr>
        <w:pStyle w:val="ListNumber"/>
        <w:spacing w:after="60"/>
      </w:pPr>
      <w:r>
        <w:t>npm test — runs everything (see Part 1)</w:t>
      </w:r>
    </w:p>
    <w:p>
      <w:pPr>
        <w:spacing w:after="200"/>
      </w:pPr>
      <w:r>
        <w:t>The e2e/ folder is a self-contained Node project, separate from the Maven build — it was bootstrapped from scratch for this suite (the project had no frontend tooling before). It never needs to be built or packaged; it's test-only.</w:t>
      </w:r>
    </w:p>
    <w:p>
      <w:pPr>
        <w:pStyle w:val="Heading2"/>
      </w:pPr>
      <w:r>
        <w:rPr>
          <w:color w:val="1F4E5F"/>
        </w:rPr>
        <w:t>3.5 Optional: run the app manually on the e2e profile</w:t>
      </w:r>
    </w:p>
    <w:p>
      <w:pPr>
        <w:spacing w:after="200"/>
      </w:pPr>
      <w:r>
        <w:t>Useful for poking around by hand with the same isolated data Playwright uses:</w:t>
      </w:r>
    </w:p>
    <w:p>
      <w:pPr>
        <w:spacing w:after="0" w:before="0"/>
        <w:shd w:val="clear" w:color="auto" w:fill="F3F3F3"/>
      </w:pPr>
      <w:r>
        <w:rPr>
          <w:rFonts w:ascii="Consolas" w:hAnsi="Consolas"/>
          <w:sz w:val="19"/>
        </w:rPr>
        <w:t>./mvnw spring-boot:run -Dspring-boot.run.profiles=e2e</w:t>
      </w:r>
    </w:p>
    <w:p>
      <w:pPr>
        <w:spacing w:after="80"/>
      </w:pPr>
    </w:p>
    <w:p>
      <w:pPr>
        <w:spacing w:after="200"/>
      </w:pPr>
      <w:r>
        <w:t>Then visit http://localhost:8099. Stop it with Ctrl+C; remember to rm -rf data/e2e-testdb.* afterward if you want a clean slate for the next real Playwright run.</w:t>
      </w:r>
    </w:p>
    <w:p>
      <w:r>
        <w:br w:type="page"/>
      </w:r>
    </w:p>
    <w:p>
      <w:pPr>
        <w:pStyle w:val="Heading1"/>
      </w:pPr>
      <w:r>
        <w:rPr>
          <w:color w:val="1F4E5F"/>
        </w:rPr>
        <w:t>Part 4 — Scenario Catalog</w:t>
      </w:r>
    </w:p>
    <w:p>
      <w:pPr>
        <w:spacing w:after="200"/>
      </w:pPr>
      <w:r>
        <w:t>Four complementary test perspectives: full end-to-end user journeys (E2E), the interactive interface layer on its own (UI/GUI), the public API treated purely as input/output contracts with no knowledge of the implementation (Black-Box), and business-facing acceptance criteria phrased from the perspective of the people who will actually use the system (UAT). Every scenario below is implemented as a real, passing automated test — the section header names the file.</w:t>
      </w:r>
    </w:p>
    <w:p>
      <w:pPr>
        <w:pStyle w:val="Heading2"/>
      </w:pPr>
      <w:r>
        <w:rPr>
          <w:color w:val="1F4E5F"/>
        </w:rPr>
        <w:t>Personas Available</w:t>
      </w:r>
    </w:p>
    <w:p>
      <w:r>
        <w:t>The frontend's profile switcher (bottom-left corner) offers four fixed personas — there is no authentication yet, so switching personas changes what is displayed, not who is actually acting on the API.</w:t>
      </w:r>
    </w:p>
    <w:p>
      <w:pPr>
        <w:pStyle w:val="ListBullet"/>
      </w:pPr>
      <w:r>
        <w:rPr>
          <w:b/>
        </w:rPr>
        <w:t xml:space="preserve">Sarah Murphy: </w:t>
      </w:r>
      <w:r>
        <w:t>Employee — has not nominated this quarter</w:t>
      </w:r>
    </w:p>
    <w:p>
      <w:pPr>
        <w:pStyle w:val="ListBullet"/>
      </w:pPr>
      <w:r>
        <w:rPr>
          <w:b/>
        </w:rPr>
        <w:t xml:space="preserve">Calvin Ho: </w:t>
      </w:r>
      <w:r>
        <w:t>Employee — already nominated (pending)</w:t>
      </w:r>
    </w:p>
    <w:p>
      <w:pPr>
        <w:pStyle w:val="ListBullet"/>
      </w:pPr>
      <w:r>
        <w:rPr>
          <w:b/>
        </w:rPr>
        <w:t xml:space="preserve">Jamie Doyle: </w:t>
      </w:r>
      <w:r>
        <w:t>Employee — nomination was sent back for resubmission</w:t>
      </w:r>
    </w:p>
    <w:p>
      <w:pPr>
        <w:pStyle w:val="ListBullet"/>
      </w:pPr>
      <w:r>
        <w:rPr>
          <w:b/>
        </w:rPr>
        <w:t xml:space="preserve">Colette Lynch: </w:t>
      </w:r>
      <w:r>
        <w:t>Admin / HR (Coordinator) — Review Queue, Dashboard, Activity Log</w:t>
      </w:r>
    </w:p>
    <w:p>
      <w:r>
        <w:br w:type="page"/>
      </w:r>
    </w:p>
    <w:p>
      <w:pPr>
        <w:pStyle w:val="Heading2"/>
      </w:pPr>
      <w:r>
        <w:rPr>
          <w:color w:val="1F4E5F"/>
        </w:rPr>
        <w:t>4.1 End-to-End (E2E) Scenarios</w:t>
      </w:r>
    </w:p>
    <w:p>
      <w:pPr>
        <w:spacing w:after="200"/>
      </w:pPr>
      <w:r>
        <w:t>Automated as: e2e/tests/02-e2e-flows.spec.js (Playwright)</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720"/>
            <w:shd w:val="clear" w:color="auto" w:fill="1F4E5F"/>
          </w:tcPr>
          <w:p>
            <w:r/>
            <w:r>
              <w:rPr>
                <w:b/>
                <w:color w:val="FFFFFF"/>
                <w:sz w:val="20"/>
              </w:rPr>
              <w:t>#</w:t>
            </w:r>
          </w:p>
        </w:tc>
        <w:tc>
          <w:tcPr>
            <w:tcW w:type="dxa" w:w="2016"/>
            <w:shd w:val="clear" w:color="auto" w:fill="1F4E5F"/>
          </w:tcPr>
          <w:p>
            <w:r/>
            <w:r>
              <w:rPr>
                <w:b/>
                <w:color w:val="FFFFFF"/>
                <w:sz w:val="20"/>
              </w:rPr>
              <w:t>Scenario</w:t>
            </w:r>
          </w:p>
        </w:tc>
        <w:tc>
          <w:tcPr>
            <w:tcW w:type="dxa" w:w="3744"/>
            <w:shd w:val="clear" w:color="auto" w:fill="1F4E5F"/>
          </w:tcPr>
          <w:p>
            <w:r/>
            <w:r>
              <w:rPr>
                <w:b/>
                <w:color w:val="FFFFFF"/>
                <w:sz w:val="20"/>
              </w:rPr>
              <w:t>Steps</w:t>
            </w:r>
          </w:p>
        </w:tc>
        <w:tc>
          <w:tcPr>
            <w:tcW w:type="dxa" w:w="3600"/>
            <w:shd w:val="clear" w:color="auto" w:fill="1F4E5F"/>
          </w:tcPr>
          <w:p>
            <w:r/>
            <w:r>
              <w:rPr>
                <w:b/>
                <w:color w:val="FFFFFF"/>
                <w:sz w:val="20"/>
              </w:rPr>
              <w:t>Expected</w:t>
            </w:r>
          </w:p>
        </w:tc>
      </w:tr>
      <w:tr>
        <w:tc>
          <w:tcPr>
            <w:tcW w:type="dxa" w:w="720"/>
          </w:tcPr>
          <w:p>
            <w:pPr>
              <w:spacing w:after="40"/>
            </w:pPr>
            <w:r/>
            <w:r>
              <w:rPr>
                <w:sz w:val="19"/>
              </w:rPr>
              <w:t>E2E-1</w:t>
            </w:r>
          </w:p>
        </w:tc>
        <w:tc>
          <w:tcPr>
            <w:tcW w:type="dxa" w:w="2016"/>
          </w:tcPr>
          <w:p>
            <w:pPr>
              <w:spacing w:after="40"/>
            </w:pPr>
            <w:r/>
            <w:r>
              <w:rPr>
                <w:sz w:val="19"/>
              </w:rPr>
              <w:t>Happy-path submission -&gt; approval</w:t>
            </w:r>
          </w:p>
        </w:tc>
        <w:tc>
          <w:tcPr>
            <w:tcW w:type="dxa" w:w="3744"/>
          </w:tcPr>
          <w:p>
            <w:pPr>
              <w:spacing w:after="40"/>
            </w:pPr>
            <w:r/>
            <w:r>
              <w:rPr>
                <w:sz w:val="19"/>
              </w:rPr>
              <w:t>As Sarah: Submit tab -&gt; fill form -&gt; Submit. Switch to Colette -&gt; Review Queue -&gt; open it -&gt; Approve.</w:t>
            </w:r>
          </w:p>
        </w:tc>
        <w:tc>
          <w:tcPr>
            <w:tcW w:type="dxa" w:w="3600"/>
          </w:tcPr>
          <w:p>
            <w:pPr>
              <w:spacing w:after="40"/>
            </w:pPr>
            <w:r/>
            <w:r>
              <w:rPr>
                <w:sz w:val="19"/>
              </w:rPr>
              <w:t>Status moves PENDING_REVIEW -&gt; APPROVED; Audit Log shows both the nominator confirmation and the nominee award comms.</w:t>
            </w:r>
          </w:p>
        </w:tc>
      </w:tr>
      <w:tr>
        <w:tc>
          <w:tcPr>
            <w:tcW w:type="dxa" w:w="720"/>
            <w:shd w:val="clear" w:color="auto" w:fill="EEF3F5"/>
          </w:tcPr>
          <w:p>
            <w:pPr>
              <w:spacing w:after="40"/>
            </w:pPr>
            <w:r/>
            <w:r>
              <w:rPr>
                <w:sz w:val="19"/>
              </w:rPr>
              <w:t>E2E-2</w:t>
            </w:r>
          </w:p>
        </w:tc>
        <w:tc>
          <w:tcPr>
            <w:tcW w:type="dxa" w:w="2016"/>
            <w:shd w:val="clear" w:color="auto" w:fill="EEF3F5"/>
          </w:tcPr>
          <w:p>
            <w:pPr>
              <w:spacing w:after="40"/>
            </w:pPr>
            <w:r/>
            <w:r>
              <w:rPr>
                <w:sz w:val="19"/>
              </w:rPr>
              <w:t>Reject -&gt; resubmit -&gt; approve full cycle</w:t>
            </w:r>
          </w:p>
        </w:tc>
        <w:tc>
          <w:tcPr>
            <w:tcW w:type="dxa" w:w="3744"/>
            <w:shd w:val="clear" w:color="auto" w:fill="EEF3F5"/>
          </w:tcPr>
          <w:p>
            <w:pPr>
              <w:spacing w:after="40"/>
            </w:pPr>
            <w:r/>
            <w:r>
              <w:rPr>
                <w:sz w:val="19"/>
              </w:rPr>
              <w:t>As Colette: reject a pending nomination with a reason. Switch to that nominator persona -&gt; Submit tab shows the revision banner, pre-filled with the original id. Fill the whole form again (see Part 7 finding) and resubmit. Switch back to Colette -&gt; approve.</w:t>
            </w:r>
          </w:p>
        </w:tc>
        <w:tc>
          <w:tcPr>
            <w:tcW w:type="dxa" w:w="3600"/>
            <w:shd w:val="clear" w:color="auto" w:fill="EEF3F5"/>
          </w:tcPr>
          <w:p>
            <w:pPr>
              <w:spacing w:after="40"/>
            </w:pPr>
            <w:r/>
            <w:r>
              <w:rPr>
                <w:sz w:val="19"/>
              </w:rPr>
              <w:t>Second submission carries originalNominationId; does not count against the quarter limit; final state is APPROVED.</w:t>
            </w:r>
          </w:p>
        </w:tc>
      </w:tr>
      <w:tr>
        <w:tc>
          <w:tcPr>
            <w:tcW w:type="dxa" w:w="720"/>
          </w:tcPr>
          <w:p>
            <w:pPr>
              <w:spacing w:after="40"/>
            </w:pPr>
            <w:r/>
            <w:r>
              <w:rPr>
                <w:sz w:val="19"/>
              </w:rPr>
              <w:t>E2E-3</w:t>
            </w:r>
          </w:p>
        </w:tc>
        <w:tc>
          <w:tcPr>
            <w:tcW w:type="dxa" w:w="2016"/>
          </w:tcPr>
          <w:p>
            <w:pPr>
              <w:spacing w:after="40"/>
            </w:pPr>
            <w:r/>
            <w:r>
              <w:rPr>
                <w:sz w:val="19"/>
              </w:rPr>
              <w:t>Quarter-limit block, end to end</w:t>
            </w:r>
          </w:p>
        </w:tc>
        <w:tc>
          <w:tcPr>
            <w:tcW w:type="dxa" w:w="3744"/>
          </w:tcPr>
          <w:p>
            <w:pPr>
              <w:spacing w:after="40"/>
            </w:pPr>
            <w:r/>
            <w:r>
              <w:rPr>
                <w:sz w:val="19"/>
              </w:rPr>
              <w:t>As Calvin (already submitted): open the Submit tab.</w:t>
            </w:r>
          </w:p>
        </w:tc>
        <w:tc>
          <w:tcPr>
            <w:tcW w:type="dxa" w:w="3600"/>
          </w:tcPr>
          <w:p>
            <w:pPr>
              <w:spacing w:after="40"/>
            </w:pPr>
            <w:r/>
            <w:r>
              <w:rPr>
                <w:sz w:val="19"/>
              </w:rPr>
              <w:t>UI shows the already-used-this-quarter panel instead of the form -- never even reaches the API to get a 409.</w:t>
            </w:r>
          </w:p>
        </w:tc>
      </w:tr>
      <w:tr>
        <w:tc>
          <w:tcPr>
            <w:tcW w:type="dxa" w:w="720"/>
            <w:shd w:val="clear" w:color="auto" w:fill="EEF3F5"/>
          </w:tcPr>
          <w:p>
            <w:pPr>
              <w:spacing w:after="40"/>
            </w:pPr>
            <w:r/>
            <w:r>
              <w:rPr>
                <w:sz w:val="19"/>
              </w:rPr>
              <w:t>E2E-4</w:t>
            </w:r>
          </w:p>
        </w:tc>
        <w:tc>
          <w:tcPr>
            <w:tcW w:type="dxa" w:w="2016"/>
            <w:shd w:val="clear" w:color="auto" w:fill="EEF3F5"/>
          </w:tcPr>
          <w:p>
            <w:pPr>
              <w:spacing w:after="40"/>
            </w:pPr>
            <w:r/>
            <w:r>
              <w:rPr>
                <w:sz w:val="19"/>
              </w:rPr>
              <w:t>Self-nomination via UI helper</w:t>
            </w:r>
          </w:p>
        </w:tc>
        <w:tc>
          <w:tcPr>
            <w:tcW w:type="dxa" w:w="3744"/>
            <w:shd w:val="clear" w:color="auto" w:fill="EEF3F5"/>
          </w:tcPr>
          <w:p>
            <w:pPr>
              <w:spacing w:after="40"/>
            </w:pPr>
            <w:r/>
            <w:r>
              <w:rPr>
                <w:sz w:val="19"/>
              </w:rPr>
              <w:t>As Sarah: click Try self-nomination then Submit.</w:t>
            </w:r>
          </w:p>
        </w:tc>
        <w:tc>
          <w:tcPr>
            <w:tcW w:type="dxa" w:w="3600"/>
            <w:shd w:val="clear" w:color="auto" w:fill="EEF3F5"/>
          </w:tcPr>
          <w:p>
            <w:pPr>
              <w:spacing w:after="40"/>
            </w:pPr>
            <w:r/>
            <w:r>
              <w:rPr>
                <w:sz w:val="19"/>
              </w:rPr>
              <w:t>SelfNominationException surfaces as an inline error banner, not a crash.</w:t>
            </w:r>
          </w:p>
        </w:tc>
      </w:tr>
      <w:tr>
        <w:tc>
          <w:tcPr>
            <w:tcW w:type="dxa" w:w="720"/>
          </w:tcPr>
          <w:p>
            <w:pPr>
              <w:spacing w:after="40"/>
            </w:pPr>
            <w:r/>
            <w:r>
              <w:rPr>
                <w:sz w:val="19"/>
              </w:rPr>
              <w:t>E2E-5</w:t>
            </w:r>
          </w:p>
        </w:tc>
        <w:tc>
          <w:tcPr>
            <w:tcW w:type="dxa" w:w="2016"/>
          </w:tcPr>
          <w:p>
            <w:pPr>
              <w:spacing w:after="40"/>
            </w:pPr>
            <w:r/>
            <w:r>
              <w:rPr>
                <w:sz w:val="19"/>
              </w:rPr>
              <w:t>One-click completeness check drives a real resubmission request</w:t>
            </w:r>
          </w:p>
        </w:tc>
        <w:tc>
          <w:tcPr>
            <w:tcW w:type="dxa" w:w="3744"/>
          </w:tcPr>
          <w:p>
            <w:pPr>
              <w:spacing w:after="40"/>
            </w:pPr>
            <w:r/>
            <w:r>
              <w:rPr>
                <w:sz w:val="19"/>
              </w:rPr>
              <w:t>As Colette: open a thin nomination in the Review Queue -&gt; run the completeness check -&gt; click Request resubmission.</w:t>
            </w:r>
          </w:p>
        </w:tc>
        <w:tc>
          <w:tcPr>
            <w:tcW w:type="dxa" w:w="3600"/>
          </w:tcPr>
          <w:p>
            <w:pPr>
              <w:spacing w:after="40"/>
            </w:pPr>
            <w:r/>
            <w:r>
              <w:rPr>
                <w:sz w:val="19"/>
              </w:rPr>
              <w:t>Status becomes NEEDS_RESUBMISSION.</w:t>
            </w:r>
          </w:p>
        </w:tc>
      </w:tr>
      <w:tr>
        <w:tc>
          <w:tcPr>
            <w:tcW w:type="dxa" w:w="720"/>
            <w:shd w:val="clear" w:color="auto" w:fill="EEF3F5"/>
          </w:tcPr>
          <w:p>
            <w:pPr>
              <w:spacing w:after="40"/>
            </w:pPr>
            <w:r/>
            <w:r>
              <w:rPr>
                <w:sz w:val="19"/>
              </w:rPr>
              <w:t>E2E-6</w:t>
            </w:r>
          </w:p>
        </w:tc>
        <w:tc>
          <w:tcPr>
            <w:tcW w:type="dxa" w:w="2016"/>
            <w:shd w:val="clear" w:color="auto" w:fill="EEF3F5"/>
          </w:tcPr>
          <w:p>
            <w:pPr>
              <w:spacing w:after="40"/>
            </w:pPr>
            <w:r/>
            <w:r>
              <w:rPr>
                <w:sz w:val="19"/>
              </w:rPr>
              <w:t>Retag propagates a reciprocal flag across two existing nominations</w:t>
            </w:r>
          </w:p>
        </w:tc>
        <w:tc>
          <w:tcPr>
            <w:tcW w:type="dxa" w:w="3744"/>
            <w:shd w:val="clear" w:color="auto" w:fill="EEF3F5"/>
          </w:tcPr>
          <w:p>
            <w:pPr>
              <w:spacing w:after="40"/>
            </w:pPr>
            <w:r/>
            <w:r>
              <w:rPr>
                <w:sz w:val="19"/>
              </w:rPr>
              <w:t>Submit A-&gt;B, then B-&gt;A (via direct API) -- submitting the second one triggers retagAll automatically.</w:t>
            </w:r>
          </w:p>
        </w:tc>
        <w:tc>
          <w:tcPr>
            <w:tcW w:type="dxa" w:w="3600"/>
            <w:shd w:val="clear" w:color="auto" w:fill="EEF3F5"/>
          </w:tcPr>
          <w:p>
            <w:pPr>
              <w:spacing w:after="40"/>
            </w:pPr>
            <w:r/>
            <w:r>
              <w:rPr>
                <w:sz w:val="19"/>
              </w:rPr>
              <w:t>Both nominations show RECIPROCAL_NOMINATION, not just the second one. A flag never blocks a decision either - approving the flagged A-&gt;B nomination directly afterward still succeeds (T-06).</w:t>
            </w:r>
          </w:p>
        </w:tc>
      </w:tr>
      <w:tr>
        <w:tc>
          <w:tcPr>
            <w:tcW w:type="dxa" w:w="720"/>
          </w:tcPr>
          <w:p>
            <w:pPr>
              <w:spacing w:after="40"/>
            </w:pPr>
            <w:r/>
            <w:r>
              <w:rPr>
                <w:sz w:val="19"/>
              </w:rPr>
              <w:t>E2E-7</w:t>
            </w:r>
          </w:p>
        </w:tc>
        <w:tc>
          <w:tcPr>
            <w:tcW w:type="dxa" w:w="2016"/>
          </w:tcPr>
          <w:p>
            <w:pPr>
              <w:spacing w:after="40"/>
            </w:pPr>
            <w:r/>
            <w:r>
              <w:rPr>
                <w:sz w:val="19"/>
              </w:rPr>
              <w:t>AI evaluation completes and never blocks submission</w:t>
            </w:r>
          </w:p>
        </w:tc>
        <w:tc>
          <w:tcPr>
            <w:tcW w:type="dxa" w:w="3744"/>
          </w:tcPr>
          <w:p>
            <w:pPr>
              <w:spacing w:after="40"/>
            </w:pPr>
            <w:r/>
            <w:r>
              <w:rPr>
                <w:sz w:val="19"/>
              </w:rPr>
              <w:t>Submit a nomination against the mock evaluator.</w:t>
            </w:r>
          </w:p>
        </w:tc>
        <w:tc>
          <w:tcPr>
            <w:tcW w:type="dxa" w:w="3600"/>
          </w:tcPr>
          <w:p>
            <w:pPr>
              <w:spacing w:after="40"/>
            </w:pPr>
            <w:r/>
            <w:r>
              <w:rPr>
                <w:sz w:val="19"/>
              </w:rPr>
              <w:t>aiEvaluationStatus is COMPLETED with a real score -- reframed from the original catalog entry, see Part 7 finding on SKIPPED_NO_API_KEY.</w:t>
            </w:r>
          </w:p>
        </w:tc>
      </w:tr>
    </w:tbl>
    <w:p/>
    <w:p>
      <w:r>
        <w:br w:type="page"/>
      </w:r>
    </w:p>
    <w:p>
      <w:pPr>
        <w:pStyle w:val="Heading2"/>
      </w:pPr>
      <w:r>
        <w:rPr>
          <w:color w:val="1F4E5F"/>
        </w:rPr>
        <w:t>4.2 UI / GUI Scenarios</w:t>
      </w:r>
    </w:p>
    <w:p>
      <w:pPr>
        <w:spacing w:after="200"/>
      </w:pPr>
      <w:r>
        <w:t>Automated as: e2e/tests/01-ui-gui.spec.js (Playwright)</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1F4E5F"/>
          </w:tcPr>
          <w:p>
            <w:r/>
            <w:r>
              <w:rPr>
                <w:b/>
                <w:color w:val="FFFFFF"/>
                <w:sz w:val="20"/>
              </w:rPr>
              <w:t>#</w:t>
            </w:r>
          </w:p>
        </w:tc>
        <w:tc>
          <w:tcPr>
            <w:tcW w:type="dxa" w:w="3744"/>
            <w:shd w:val="clear" w:color="auto" w:fill="1F4E5F"/>
          </w:tcPr>
          <w:p>
            <w:r/>
            <w:r>
              <w:rPr>
                <w:b/>
                <w:color w:val="FFFFFF"/>
                <w:sz w:val="20"/>
              </w:rPr>
              <w:t>Scenario</w:t>
            </w:r>
          </w:p>
        </w:tc>
        <w:tc>
          <w:tcPr>
            <w:tcW w:type="dxa" w:w="5328"/>
            <w:shd w:val="clear" w:color="auto" w:fill="1F4E5F"/>
          </w:tcPr>
          <w:p>
            <w:r/>
            <w:r>
              <w:rPr>
                <w:b/>
                <w:color w:val="FFFFFF"/>
                <w:sz w:val="20"/>
              </w:rPr>
              <w:t>Notes</w:t>
            </w:r>
          </w:p>
        </w:tc>
      </w:tr>
      <w:tr>
        <w:tc>
          <w:tcPr>
            <w:tcW w:type="dxa" w:w="1008"/>
          </w:tcPr>
          <w:p>
            <w:pPr>
              <w:spacing w:after="40"/>
            </w:pPr>
            <w:r/>
            <w:r>
              <w:rPr>
                <w:sz w:val="19"/>
              </w:rPr>
              <w:t>UI-1a</w:t>
            </w:r>
          </w:p>
        </w:tc>
        <w:tc>
          <w:tcPr>
            <w:tcW w:type="dxa" w:w="3744"/>
          </w:tcPr>
          <w:p>
            <w:pPr>
              <w:spacing w:after="40"/>
            </w:pPr>
            <w:r/>
            <w:r>
              <w:rPr>
                <w:sz w:val="19"/>
              </w:rPr>
              <w:t>(BUG, pinned as regression) Empty-form submit shows a generic "Bad Request" banner, not field-level messages</w:t>
            </w:r>
          </w:p>
        </w:tc>
        <w:tc>
          <w:tcPr>
            <w:tcW w:type="dxa" w:w="5328"/>
          </w:tcPr>
          <w:p>
            <w:pPr>
              <w:spacing w:after="40"/>
            </w:pPr>
            <w:r/>
            <w:r>
              <w:rPr>
                <w:sz w:val="19"/>
              </w:rPr>
              <w:t>See Part 7 finding — a real defect, documented, not silently worked around.</w:t>
            </w:r>
          </w:p>
        </w:tc>
      </w:tr>
      <w:tr>
        <w:tc>
          <w:tcPr>
            <w:tcW w:type="dxa" w:w="1008"/>
            <w:shd w:val="clear" w:color="auto" w:fill="EEF3F5"/>
          </w:tcPr>
          <w:p>
            <w:pPr>
              <w:spacing w:after="40"/>
            </w:pPr>
            <w:r/>
            <w:r>
              <w:rPr>
                <w:sz w:val="19"/>
              </w:rPr>
              <w:t>UI-1b</w:t>
            </w:r>
          </w:p>
        </w:tc>
        <w:tc>
          <w:tcPr>
            <w:tcW w:type="dxa" w:w="3744"/>
            <w:shd w:val="clear" w:color="auto" w:fill="EEF3F5"/>
          </w:tcPr>
          <w:p>
            <w:pPr>
              <w:spacing w:after="40"/>
            </w:pPr>
            <w:r/>
            <w:r>
              <w:rPr>
                <w:sz w:val="19"/>
              </w:rPr>
              <w:t>When category/coreValue ARE selected, missing string fields DO get inline messages</w:t>
            </w:r>
          </w:p>
        </w:tc>
        <w:tc>
          <w:tcPr>
            <w:tcW w:type="dxa" w:w="5328"/>
            <w:shd w:val="clear" w:color="auto" w:fill="EEF3F5"/>
          </w:tcPr>
          <w:p>
            <w:pPr>
              <w:spacing w:after="40"/>
            </w:pPr>
            <w:r/>
            <w:r>
              <w:rPr>
                <w:sz w:val="19"/>
              </w:rPr>
              <w:t>Isolates the UI-1a bug to specifically the enum-blank-string case.</w:t>
            </w:r>
          </w:p>
        </w:tc>
      </w:tr>
      <w:tr>
        <w:tc>
          <w:tcPr>
            <w:tcW w:type="dxa" w:w="1008"/>
          </w:tcPr>
          <w:p>
            <w:pPr>
              <w:spacing w:after="40"/>
            </w:pPr>
            <w:r/>
            <w:r>
              <w:rPr>
                <w:sz w:val="19"/>
              </w:rPr>
              <w:t>UI-2</w:t>
            </w:r>
          </w:p>
        </w:tc>
        <w:tc>
          <w:tcPr>
            <w:tcW w:type="dxa" w:w="3744"/>
          </w:tcPr>
          <w:p>
            <w:pPr>
              <w:spacing w:after="40"/>
            </w:pPr>
            <w:r/>
            <w:r>
              <w:rPr>
                <w:sz w:val="19"/>
              </w:rPr>
              <w:t>"Fill sample" / "Clear" buttons</w:t>
            </w:r>
          </w:p>
        </w:tc>
        <w:tc>
          <w:tcPr>
            <w:tcW w:type="dxa" w:w="5328"/>
          </w:tcPr>
          <w:p>
            <w:pPr>
              <w:spacing w:after="40"/>
            </w:pPr>
            <w:r/>
            <w:r>
              <w:rPr>
                <w:sz w:val="19"/>
              </w:rPr>
              <w:t>Fill sample populates every field validly; Clear wipes them all.</w:t>
            </w:r>
          </w:p>
        </w:tc>
      </w:tr>
      <w:tr>
        <w:tc>
          <w:tcPr>
            <w:tcW w:type="dxa" w:w="1008"/>
            <w:shd w:val="clear" w:color="auto" w:fill="EEF3F5"/>
          </w:tcPr>
          <w:p>
            <w:pPr>
              <w:spacing w:after="40"/>
            </w:pPr>
            <w:r/>
            <w:r>
              <w:rPr>
                <w:sz w:val="19"/>
              </w:rPr>
              <w:t>UI-3</w:t>
            </w:r>
          </w:p>
        </w:tc>
        <w:tc>
          <w:tcPr>
            <w:tcW w:type="dxa" w:w="3744"/>
            <w:shd w:val="clear" w:color="auto" w:fill="EEF3F5"/>
          </w:tcPr>
          <w:p>
            <w:pPr>
              <w:spacing w:after="40"/>
            </w:pPr>
            <w:r/>
            <w:r>
              <w:rPr>
                <w:sz w:val="19"/>
              </w:rPr>
              <w:t>Theme control (Light / Dark / Auto)</w:t>
            </w:r>
          </w:p>
        </w:tc>
        <w:tc>
          <w:tcPr>
            <w:tcW w:type="dxa" w:w="5328"/>
            <w:shd w:val="clear" w:color="auto" w:fill="EEF3F5"/>
          </w:tcPr>
          <w:p>
            <w:pPr>
              <w:spacing w:after="40"/>
            </w:pPr>
            <w:r/>
            <w:r>
              <w:rPr>
                <w:sz w:val="19"/>
              </w:rPr>
              <w:t>Choice persists across a page reload.</w:t>
            </w:r>
          </w:p>
        </w:tc>
      </w:tr>
      <w:tr>
        <w:tc>
          <w:tcPr>
            <w:tcW w:type="dxa" w:w="1008"/>
          </w:tcPr>
          <w:p>
            <w:pPr>
              <w:spacing w:after="40"/>
            </w:pPr>
            <w:r/>
            <w:r>
              <w:rPr>
                <w:sz w:val="19"/>
              </w:rPr>
              <w:t>UI-4</w:t>
            </w:r>
          </w:p>
        </w:tc>
        <w:tc>
          <w:tcPr>
            <w:tcW w:type="dxa" w:w="3744"/>
          </w:tcPr>
          <w:p>
            <w:pPr>
              <w:spacing w:after="40"/>
            </w:pPr>
            <w:r/>
            <w:r>
              <w:rPr>
                <w:sz w:val="19"/>
              </w:rPr>
              <w:t>Greyscale accessibility toggle (structural proxy)</w:t>
            </w:r>
          </w:p>
        </w:tc>
        <w:tc>
          <w:tcPr>
            <w:tcW w:type="dxa" w:w="5328"/>
          </w:tcPr>
          <w:p>
            <w:pPr>
              <w:spacing w:after="40"/>
            </w:pPr>
            <w:r/>
            <w:r>
              <w:rPr>
                <w:sz w:val="19"/>
              </w:rPr>
              <w:t>Toggle applies and persists a state change — full contrast/colorblind verification needs visual tooling this suite doesn't have.</w:t>
            </w:r>
          </w:p>
        </w:tc>
      </w:tr>
      <w:tr>
        <w:tc>
          <w:tcPr>
            <w:tcW w:type="dxa" w:w="1008"/>
            <w:shd w:val="clear" w:color="auto" w:fill="EEF3F5"/>
          </w:tcPr>
          <w:p>
            <w:pPr>
              <w:spacing w:after="40"/>
            </w:pPr>
            <w:r/>
            <w:r>
              <w:rPr>
                <w:sz w:val="19"/>
              </w:rPr>
              <w:t>UI-5</w:t>
            </w:r>
          </w:p>
        </w:tc>
        <w:tc>
          <w:tcPr>
            <w:tcW w:type="dxa" w:w="3744"/>
            <w:shd w:val="clear" w:color="auto" w:fill="EEF3F5"/>
          </w:tcPr>
          <w:p>
            <w:pPr>
              <w:spacing w:after="40"/>
            </w:pPr>
            <w:r/>
            <w:r>
              <w:rPr>
                <w:sz w:val="19"/>
              </w:rPr>
              <w:t>Profile/persona switcher</w:t>
            </w:r>
          </w:p>
        </w:tc>
        <w:tc>
          <w:tcPr>
            <w:tcW w:type="dxa" w:w="5328"/>
            <w:shd w:val="clear" w:color="auto" w:fill="EEF3F5"/>
          </w:tcPr>
          <w:p>
            <w:pPr>
              <w:spacing w:after="40"/>
            </w:pPr>
            <w:r/>
            <w:r>
              <w:rPr>
                <w:sz w:val="19"/>
              </w:rPr>
              <w:t>Switching personas changes visible nav items per role (EMPLOYEE vs COORDINATOR groups).</w:t>
            </w:r>
          </w:p>
        </w:tc>
      </w:tr>
      <w:tr>
        <w:tc>
          <w:tcPr>
            <w:tcW w:type="dxa" w:w="1008"/>
          </w:tcPr>
          <w:p>
            <w:pPr>
              <w:spacing w:after="40"/>
            </w:pPr>
            <w:r/>
            <w:r>
              <w:rPr>
                <w:sz w:val="19"/>
              </w:rPr>
              <w:t>UI-6</w:t>
            </w:r>
          </w:p>
        </w:tc>
        <w:tc>
          <w:tcPr>
            <w:tcW w:type="dxa" w:w="3744"/>
          </w:tcPr>
          <w:p>
            <w:pPr>
              <w:spacing w:after="40"/>
            </w:pPr>
            <w:r/>
            <w:r>
              <w:rPr>
                <w:sz w:val="19"/>
              </w:rPr>
              <w:t>Review Queue badge count</w:t>
            </w:r>
          </w:p>
        </w:tc>
        <w:tc>
          <w:tcPr>
            <w:tcW w:type="dxa" w:w="5328"/>
          </w:tcPr>
          <w:p>
            <w:pPr>
              <w:spacing w:after="40"/>
            </w:pPr>
            <w:r/>
            <w:r>
              <w:rPr>
                <w:sz w:val="19"/>
              </w:rPr>
              <w:t>Updates immediately after an approve, with no page reload.</w:t>
            </w:r>
          </w:p>
        </w:tc>
      </w:tr>
      <w:tr>
        <w:tc>
          <w:tcPr>
            <w:tcW w:type="dxa" w:w="1008"/>
            <w:shd w:val="clear" w:color="auto" w:fill="EEF3F5"/>
          </w:tcPr>
          <w:p>
            <w:pPr>
              <w:spacing w:after="40"/>
            </w:pPr>
            <w:r/>
            <w:r>
              <w:rPr>
                <w:sz w:val="19"/>
              </w:rPr>
              <w:t>UI-7</w:t>
            </w:r>
          </w:p>
        </w:tc>
        <w:tc>
          <w:tcPr>
            <w:tcW w:type="dxa" w:w="3744"/>
            <w:shd w:val="clear" w:color="auto" w:fill="EEF3F5"/>
          </w:tcPr>
          <w:p>
            <w:pPr>
              <w:spacing w:after="40"/>
            </w:pPr>
            <w:r/>
            <w:r>
              <w:rPr>
                <w:sz w:val="19"/>
              </w:rPr>
              <w:t>Placeholder screens are honestly labeled</w:t>
            </w:r>
          </w:p>
        </w:tc>
        <w:tc>
          <w:tcPr>
            <w:tcW w:type="dxa" w:w="5328"/>
            <w:shd w:val="clear" w:color="auto" w:fill="EEF3F5"/>
          </w:tcPr>
          <w:p>
            <w:pPr>
              <w:spacing w:after="40"/>
            </w:pPr>
            <w:r/>
            <w:r>
              <w:rPr>
                <w:sz w:val="19"/>
              </w:rPr>
              <w:t>Praises Wall and Reports show their "built yet" stub banners.</w:t>
            </w:r>
          </w:p>
        </w:tc>
      </w:tr>
      <w:tr>
        <w:tc>
          <w:tcPr>
            <w:tcW w:type="dxa" w:w="1008"/>
          </w:tcPr>
          <w:p>
            <w:pPr>
              <w:spacing w:after="40"/>
            </w:pPr>
            <w:r/>
            <w:r>
              <w:rPr>
                <w:sz w:val="19"/>
              </w:rPr>
              <w:t>UI-8</w:t>
            </w:r>
          </w:p>
        </w:tc>
        <w:tc>
          <w:tcPr>
            <w:tcW w:type="dxa" w:w="3744"/>
          </w:tcPr>
          <w:p>
            <w:pPr>
              <w:spacing w:after="40"/>
            </w:pPr>
            <w:r/>
            <w:r>
              <w:rPr>
                <w:sz w:val="19"/>
              </w:rPr>
              <w:t>Resubmission field visibility</w:t>
            </w:r>
          </w:p>
        </w:tc>
        <w:tc>
          <w:tcPr>
            <w:tcW w:type="dxa" w:w="5328"/>
          </w:tcPr>
          <w:p>
            <w:pPr>
              <w:spacing w:after="40"/>
            </w:pPr>
            <w:r/>
            <w:r>
              <w:rPr>
                <w:sz w:val="19"/>
              </w:rPr>
              <w:t>originalNominationId is hidden on a fresh submission.</w:t>
            </w:r>
          </w:p>
        </w:tc>
      </w:tr>
      <w:tr>
        <w:tc>
          <w:tcPr>
            <w:tcW w:type="dxa" w:w="1008"/>
            <w:shd w:val="clear" w:color="auto" w:fill="EEF3F5"/>
          </w:tcPr>
          <w:p>
            <w:pPr>
              <w:spacing w:after="40"/>
            </w:pPr>
            <w:r/>
            <w:r>
              <w:rPr>
                <w:sz w:val="19"/>
              </w:rPr>
              <w:t>UI-9</w:t>
            </w:r>
          </w:p>
        </w:tc>
        <w:tc>
          <w:tcPr>
            <w:tcW w:type="dxa" w:w="3744"/>
            <w:shd w:val="clear" w:color="auto" w:fill="EEF3F5"/>
          </w:tcPr>
          <w:p>
            <w:pPr>
              <w:spacing w:after="40"/>
            </w:pPr>
            <w:r/>
            <w:r>
              <w:rPr>
                <w:sz w:val="19"/>
              </w:rPr>
              <w:t>Responsive / small-viewport check (structural proxy)</w:t>
            </w:r>
          </w:p>
        </w:tc>
        <w:tc>
          <w:tcPr>
            <w:tcW w:type="dxa" w:w="5328"/>
            <w:shd w:val="clear" w:color="auto" w:fill="EEF3F5"/>
          </w:tcPr>
          <w:p>
            <w:pPr>
              <w:spacing w:after="40"/>
            </w:pPr>
            <w:r/>
            <w:r>
              <w:rPr>
                <w:sz w:val="19"/>
              </w:rPr>
              <w:t>Nav and content region remain present at 375px width — not a full visual regression check.</w:t>
            </w:r>
          </w:p>
        </w:tc>
      </w:tr>
      <w:tr>
        <w:tc>
          <w:tcPr>
            <w:tcW w:type="dxa" w:w="1008"/>
          </w:tcPr>
          <w:p>
            <w:pPr>
              <w:spacing w:after="40"/>
            </w:pPr>
            <w:r/>
            <w:r>
              <w:rPr>
                <w:sz w:val="19"/>
              </w:rPr>
              <w:t>UI-10</w:t>
            </w:r>
          </w:p>
        </w:tc>
        <w:tc>
          <w:tcPr>
            <w:tcW w:type="dxa" w:w="3744"/>
          </w:tcPr>
          <w:p>
            <w:pPr>
              <w:spacing w:after="40"/>
            </w:pPr>
            <w:r/>
            <w:r>
              <w:rPr>
                <w:sz w:val="19"/>
              </w:rPr>
              <w:t>Category / core-value picker hint text swaps live</w:t>
            </w:r>
          </w:p>
        </w:tc>
        <w:tc>
          <w:tcPr>
            <w:tcW w:type="dxa" w:w="5328"/>
          </w:tcPr>
          <w:p>
            <w:pPr>
              <w:spacing w:after="40"/>
            </w:pPr>
            <w:r/>
            <w:r>
              <w:rPr>
                <w:sz w:val="19"/>
              </w:rPr>
              <w:t>Confirmed genuinely dynamic via a change listener, including the HOW field's placeholder text.</w:t>
            </w:r>
          </w:p>
        </w:tc>
      </w:tr>
      <w:tr>
        <w:tc>
          <w:tcPr>
            <w:tcW w:type="dxa" w:w="1008"/>
            <w:shd w:val="clear" w:color="auto" w:fill="EEF3F5"/>
          </w:tcPr>
          <w:p>
            <w:pPr>
              <w:spacing w:after="40"/>
            </w:pPr>
            <w:r/>
            <w:r>
              <w:rPr>
                <w:sz w:val="19"/>
              </w:rPr>
              <w:t>T-26</w:t>
            </w:r>
          </w:p>
        </w:tc>
        <w:tc>
          <w:tcPr>
            <w:tcW w:type="dxa" w:w="3744"/>
            <w:shd w:val="clear" w:color="auto" w:fill="EEF3F5"/>
          </w:tcPr>
          <w:p>
            <w:pPr>
              <w:spacing w:after="40"/>
            </w:pPr>
            <w:r/>
            <w:r>
              <w:rPr>
                <w:sz w:val="19"/>
              </w:rPr>
              <w:t>Full context visible before deciding</w:t>
            </w:r>
          </w:p>
        </w:tc>
        <w:tc>
          <w:tcPr>
            <w:tcW w:type="dxa" w:w="5328"/>
            <w:shd w:val="clear" w:color="auto" w:fill="EEF3F5"/>
          </w:tcPr>
          <w:p>
            <w:pPr>
              <w:spacing w:after="40"/>
            </w:pPr>
            <w:r/>
            <w:r>
              <w:rPr>
                <w:sz w:val="19"/>
              </w:rPr>
              <w:t>The coordinator detail panel renders WHAT/HOW text and the Approve/Reject buttons in the same synchronous innerHTML write - the buttons are never available before the content has actually loaded.</w:t>
            </w:r>
          </w:p>
        </w:tc>
      </w:tr>
      <w:tr>
        <w:tc>
          <w:tcPr>
            <w:tcW w:type="dxa" w:w="1008"/>
            <w:shd w:val="clear" w:color="auto" w:fill="EEF3F5"/>
          </w:tcPr>
          <w:p>
            <w:pPr>
              <w:spacing w:after="40"/>
            </w:pPr>
            <w:r/>
            <w:r>
              <w:rPr>
                <w:sz w:val="19"/>
              </w:rPr>
              <w:t>T-41</w:t>
            </w:r>
          </w:p>
        </w:tc>
        <w:tc>
          <w:tcPr>
            <w:tcW w:type="dxa" w:w="3744"/>
            <w:shd w:val="clear" w:color="auto" w:fill="EEF3F5"/>
          </w:tcPr>
          <w:p>
            <w:pPr>
              <w:spacing w:after="40"/>
            </w:pPr>
            <w:r/>
            <w:r>
              <w:rPr>
                <w:sz w:val="19"/>
              </w:rPr>
              <w:t>(BUG, pinned as regression) Reloading mid-form silently discards everything typed</w:t>
            </w:r>
          </w:p>
        </w:tc>
        <w:tc>
          <w:tcPr>
            <w:tcW w:type="dxa" w:w="5328"/>
            <w:shd w:val="clear" w:color="auto" w:fill="EEF3F5"/>
          </w:tcPr>
          <w:p>
            <w:pPr>
              <w:spacing w:after="40"/>
            </w:pPr>
            <w:r/>
            <w:r>
              <w:rPr>
                <w:sz w:val="19"/>
              </w:rPr>
              <w:t>No draft persistence exists anywhere in the app - localStorage only covers persona/theme/greyscale/quarter-seen, and the app's only "Save draft" buttons are disabled stubs. A mid-form reload looks identical to a fresh, empty visit, with no warning anything was lost. See Part 7 finding.</w:t>
            </w:r>
          </w:p>
        </w:tc>
      </w:tr>
      <w:tr>
        <w:tc>
          <w:tcPr>
            <w:tcW w:type="dxa" w:w="1008"/>
            <w:shd w:val="clear" w:color="auto" w:fill="EEF3F5"/>
          </w:tcPr>
          <w:p>
            <w:pPr>
              <w:spacing w:after="40"/>
            </w:pPr>
            <w:r/>
            <w:r>
              <w:rPr>
                <w:sz w:val="19"/>
              </w:rPr>
              <w:t>T-43</w:t>
            </w:r>
          </w:p>
        </w:tc>
        <w:tc>
          <w:tcPr>
            <w:tcW w:type="dxa" w:w="3744"/>
            <w:shd w:val="clear" w:color="auto" w:fill="EEF3F5"/>
          </w:tcPr>
          <w:p>
            <w:pPr>
              <w:spacing w:after="40"/>
            </w:pPr>
            <w:r/>
            <w:r>
              <w:rPr>
                <w:sz w:val="19"/>
              </w:rPr>
              <w:t>XSS text renders as plain text, never live markup</w:t>
            </w:r>
          </w:p>
        </w:tc>
        <w:tc>
          <w:tcPr>
            <w:tcW w:type="dxa" w:w="5328"/>
            <w:shd w:val="clear" w:color="auto" w:fill="EEF3F5"/>
          </w:tcPr>
          <w:p>
            <w:pPr>
              <w:spacing w:after="40"/>
            </w:pPr>
            <w:r/>
            <w:r>
              <w:rPr>
                <w:sz w:val="19"/>
              </w:rPr>
              <w:t>A &lt;script&gt; tag submitted in WHAT is shown as visible text in the review detail panel and never executes - confirms app.js's esc() escaping is applied on the render path.</w:t>
            </w:r>
          </w:p>
        </w:tc>
      </w:tr>
    </w:tbl>
    <w:p/>
    <w:p>
      <w:r>
        <w:br w:type="page"/>
      </w:r>
    </w:p>
    <w:p>
      <w:pPr>
        <w:pStyle w:val="Heading2"/>
      </w:pPr>
      <w:r>
        <w:rPr>
          <w:color w:val="1F4E5F"/>
        </w:rPr>
        <w:t>4.3 Black-Box Scenarios</w:t>
      </w:r>
    </w:p>
    <w:p>
      <w:pPr>
        <w:spacing w:after="200"/>
      </w:pPr>
      <w:r>
        <w:t>Automated as: src/test/java/.../blackbox/NominationApiBlackBoxTest.java</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1F4E5F"/>
          </w:tcPr>
          <w:p>
            <w:r/>
            <w:r>
              <w:rPr>
                <w:b/>
                <w:color w:val="FFFFFF"/>
                <w:sz w:val="20"/>
              </w:rPr>
              <w:t>#</w:t>
            </w:r>
          </w:p>
        </w:tc>
        <w:tc>
          <w:tcPr>
            <w:tcW w:type="dxa" w:w="4032"/>
            <w:shd w:val="clear" w:color="auto" w:fill="1F4E5F"/>
          </w:tcPr>
          <w:p>
            <w:r/>
            <w:r>
              <w:rPr>
                <w:b/>
                <w:color w:val="FFFFFF"/>
                <w:sz w:val="20"/>
              </w:rPr>
              <w:t>Input</w:t>
            </w:r>
          </w:p>
        </w:tc>
        <w:tc>
          <w:tcPr>
            <w:tcW w:type="dxa" w:w="5040"/>
            <w:shd w:val="clear" w:color="auto" w:fill="1F4E5F"/>
          </w:tcPr>
          <w:p>
            <w:r/>
            <w:r>
              <w:rPr>
                <w:b/>
                <w:color w:val="FFFFFF"/>
                <w:sz w:val="20"/>
              </w:rPr>
              <w:t>Expected</w:t>
            </w:r>
          </w:p>
        </w:tc>
      </w:tr>
      <w:tr>
        <w:tc>
          <w:tcPr>
            <w:tcW w:type="dxa" w:w="1008"/>
          </w:tcPr>
          <w:p>
            <w:pPr>
              <w:spacing w:after="40"/>
            </w:pPr>
            <w:r/>
            <w:r>
              <w:rPr>
                <w:sz w:val="19"/>
              </w:rPr>
              <w:t>BB-1</w:t>
            </w:r>
          </w:p>
        </w:tc>
        <w:tc>
          <w:tcPr>
            <w:tcW w:type="dxa" w:w="4032"/>
          </w:tcPr>
          <w:p>
            <w:pPr>
              <w:spacing w:after="40"/>
            </w:pPr>
            <w:r/>
            <w:r>
              <w:rPr>
                <w:sz w:val="19"/>
              </w:rPr>
              <w:t>POST with a required field missing</w:t>
            </w:r>
          </w:p>
        </w:tc>
        <w:tc>
          <w:tcPr>
            <w:tcW w:type="dxa" w:w="5040"/>
          </w:tcPr>
          <w:p>
            <w:pPr>
              <w:spacing w:after="40"/>
            </w:pPr>
            <w:r/>
            <w:r>
              <w:rPr>
                <w:sz w:val="19"/>
              </w:rPr>
              <w:t>400; field-to-message map, not a stack trace.</w:t>
            </w:r>
          </w:p>
        </w:tc>
      </w:tr>
      <w:tr>
        <w:tc>
          <w:tcPr>
            <w:tcW w:type="dxa" w:w="1008"/>
            <w:shd w:val="clear" w:color="auto" w:fill="EEF3F5"/>
          </w:tcPr>
          <w:p>
            <w:pPr>
              <w:spacing w:after="40"/>
            </w:pPr>
            <w:r/>
            <w:r>
              <w:rPr>
                <w:sz w:val="19"/>
              </w:rPr>
              <w:t>BB-2</w:t>
            </w:r>
          </w:p>
        </w:tc>
        <w:tc>
          <w:tcPr>
            <w:tcW w:type="dxa" w:w="4032"/>
            <w:shd w:val="clear" w:color="auto" w:fill="EEF3F5"/>
          </w:tcPr>
          <w:p>
            <w:pPr>
              <w:spacing w:after="40"/>
            </w:pPr>
            <w:r/>
            <w:r>
              <w:rPr>
                <w:sz w:val="19"/>
              </w:rPr>
              <w:t>nominatorEmail == nomineeEmail (any case)</w:t>
            </w:r>
          </w:p>
        </w:tc>
        <w:tc>
          <w:tcPr>
            <w:tcW w:type="dxa" w:w="5040"/>
            <w:shd w:val="clear" w:color="auto" w:fill="EEF3F5"/>
          </w:tcPr>
          <w:p>
            <w:pPr>
              <w:spacing w:after="40"/>
            </w:pPr>
            <w:r/>
            <w:r>
              <w:rPr>
                <w:sz w:val="19"/>
              </w:rPr>
              <w:t>400, self-nomination message.</w:t>
            </w:r>
          </w:p>
        </w:tc>
      </w:tr>
      <w:tr>
        <w:tc>
          <w:tcPr>
            <w:tcW w:type="dxa" w:w="1008"/>
          </w:tcPr>
          <w:p>
            <w:pPr>
              <w:spacing w:after="40"/>
            </w:pPr>
            <w:r/>
            <w:r>
              <w:rPr>
                <w:sz w:val="19"/>
              </w:rPr>
              <w:t>BB-3</w:t>
            </w:r>
          </w:p>
        </w:tc>
        <w:tc>
          <w:tcPr>
            <w:tcW w:type="dxa" w:w="4032"/>
          </w:tcPr>
          <w:p>
            <w:pPr>
              <w:spacing w:after="40"/>
            </w:pPr>
            <w:r/>
            <w:r>
              <w:rPr>
                <w:sz w:val="19"/>
              </w:rPr>
              <w:t>Second submission, same nominator, same quarter</w:t>
            </w:r>
          </w:p>
        </w:tc>
        <w:tc>
          <w:tcPr>
            <w:tcW w:type="dxa" w:w="5040"/>
          </w:tcPr>
          <w:p>
            <w:pPr>
              <w:spacing w:after="40"/>
            </w:pPr>
            <w:r/>
            <w:r>
              <w:rPr>
                <w:sz w:val="19"/>
              </w:rPr>
              <w:t>409; reason: QUARTER_LIMIT; quarter field present.</w:t>
            </w:r>
          </w:p>
        </w:tc>
      </w:tr>
      <w:tr>
        <w:tc>
          <w:tcPr>
            <w:tcW w:type="dxa" w:w="1008"/>
            <w:shd w:val="clear" w:color="auto" w:fill="EEF3F5"/>
          </w:tcPr>
          <w:p>
            <w:pPr>
              <w:spacing w:after="40"/>
            </w:pPr>
            <w:r/>
            <w:r>
              <w:rPr>
                <w:sz w:val="19"/>
              </w:rPr>
              <w:t>BB-4</w:t>
            </w:r>
          </w:p>
        </w:tc>
        <w:tc>
          <w:tcPr>
            <w:tcW w:type="dxa" w:w="4032"/>
            <w:shd w:val="clear" w:color="auto" w:fill="EEF3F5"/>
          </w:tcPr>
          <w:p>
            <w:pPr>
              <w:spacing w:after="40"/>
            </w:pPr>
            <w:r/>
            <w:r>
              <w:rPr>
                <w:sz w:val="19"/>
              </w:rPr>
              <w:t>Quarter-limit comparison ignores case</w:t>
            </w:r>
          </w:p>
        </w:tc>
        <w:tc>
          <w:tcPr>
            <w:tcW w:type="dxa" w:w="5040"/>
            <w:shd w:val="clear" w:color="auto" w:fill="EEF3F5"/>
          </w:tcPr>
          <w:p>
            <w:pPr>
              <w:spacing w:after="40"/>
            </w:pPr>
            <w:r/>
            <w:r>
              <w:rPr>
                <w:sz w:val="19"/>
              </w:rPr>
              <w:t>409 — confirmed via HTTP, not just unit-level.</w:t>
            </w:r>
          </w:p>
        </w:tc>
      </w:tr>
      <w:tr>
        <w:tc>
          <w:tcPr>
            <w:tcW w:type="dxa" w:w="1008"/>
          </w:tcPr>
          <w:p>
            <w:pPr>
              <w:spacing w:after="40"/>
            </w:pPr>
            <w:r/>
            <w:r>
              <w:rPr>
                <w:sz w:val="19"/>
              </w:rPr>
              <w:t>BB-4b</w:t>
            </w:r>
          </w:p>
        </w:tc>
        <w:tc>
          <w:tcPr>
            <w:tcW w:type="dxa" w:w="4032"/>
          </w:tcPr>
          <w:p>
            <w:pPr>
              <w:spacing w:after="40"/>
            </w:pPr>
            <w:r/>
            <w:r>
              <w:rPr>
                <w:sz w:val="19"/>
              </w:rPr>
              <w:t>(FINDING) Whitespace-padded email</w:t>
            </w:r>
          </w:p>
        </w:tc>
        <w:tc>
          <w:tcPr>
            <w:tcW w:type="dxa" w:w="5040"/>
          </w:tcPr>
          <w:p>
            <w:pPr>
              <w:spacing w:after="40"/>
            </w:pPr>
            <w:r/>
            <w:r>
              <w:rPr>
                <w:sz w:val="19"/>
              </w:rPr>
              <w:t>See Part 7 — @Email rejects it at 400 before the quarter-limit's own trim-tolerant comparison is ever reached.</w:t>
            </w:r>
          </w:p>
        </w:tc>
      </w:tr>
      <w:tr>
        <w:tc>
          <w:tcPr>
            <w:tcW w:type="dxa" w:w="1008"/>
            <w:shd w:val="clear" w:color="auto" w:fill="EEF3F5"/>
          </w:tcPr>
          <w:p>
            <w:pPr>
              <w:spacing w:after="40"/>
            </w:pPr>
            <w:r/>
            <w:r>
              <w:rPr>
                <w:sz w:val="19"/>
              </w:rPr>
              <w:t>BB-5</w:t>
            </w:r>
          </w:p>
        </w:tc>
        <w:tc>
          <w:tcPr>
            <w:tcW w:type="dxa" w:w="4032"/>
            <w:shd w:val="clear" w:color="auto" w:fill="EEF3F5"/>
          </w:tcPr>
          <w:p>
            <w:pPr>
              <w:spacing w:after="40"/>
            </w:pPr>
            <w:r/>
            <w:r>
              <w:rPr>
                <w:sz w:val="19"/>
              </w:rPr>
              <w:t>GET a random unknown id</w:t>
            </w:r>
          </w:p>
        </w:tc>
        <w:tc>
          <w:tcPr>
            <w:tcW w:type="dxa" w:w="5040"/>
            <w:shd w:val="clear" w:color="auto" w:fill="EEF3F5"/>
          </w:tcPr>
          <w:p>
            <w:pPr>
              <w:spacing w:after="40"/>
            </w:pPr>
            <w:r/>
            <w:r>
              <w:rPr>
                <w:sz w:val="19"/>
              </w:rPr>
              <w:t>404, generic error field, no leaked exception class names.</w:t>
            </w:r>
          </w:p>
        </w:tc>
      </w:tr>
      <w:tr>
        <w:tc>
          <w:tcPr>
            <w:tcW w:type="dxa" w:w="1008"/>
          </w:tcPr>
          <w:p>
            <w:pPr>
              <w:spacing w:after="40"/>
            </w:pPr>
            <w:r/>
            <w:r>
              <w:rPr>
                <w:sz w:val="19"/>
              </w:rPr>
              <w:t>BB-6</w:t>
            </w:r>
          </w:p>
        </w:tc>
        <w:tc>
          <w:tcPr>
            <w:tcW w:type="dxa" w:w="4032"/>
          </w:tcPr>
          <w:p>
            <w:pPr>
              <w:spacing w:after="40"/>
            </w:pPr>
            <w:r/>
            <w:r>
              <w:rPr>
                <w:sz w:val="19"/>
              </w:rPr>
              <w:t>Approve an already-approved nomination</w:t>
            </w:r>
          </w:p>
        </w:tc>
        <w:tc>
          <w:tcPr>
            <w:tcW w:type="dxa" w:w="5040"/>
          </w:tcPr>
          <w:p>
            <w:pPr>
              <w:spacing w:after="40"/>
            </w:pPr>
            <w:r/>
            <w:r>
              <w:rPr>
                <w:sz w:val="19"/>
              </w:rPr>
              <w:t>409, distinct from the 404 case.</w:t>
            </w:r>
          </w:p>
        </w:tc>
      </w:tr>
      <w:tr>
        <w:tc>
          <w:tcPr>
            <w:tcW w:type="dxa" w:w="1008"/>
            <w:shd w:val="clear" w:color="auto" w:fill="EEF3F5"/>
          </w:tcPr>
          <w:p>
            <w:pPr>
              <w:spacing w:after="40"/>
            </w:pPr>
            <w:r/>
            <w:r>
              <w:rPr>
                <w:sz w:val="19"/>
              </w:rPr>
              <w:t>BB-7</w:t>
            </w:r>
          </w:p>
        </w:tc>
        <w:tc>
          <w:tcPr>
            <w:tcW w:type="dxa" w:w="4032"/>
            <w:shd w:val="clear" w:color="auto" w:fill="EEF3F5"/>
          </w:tcPr>
          <w:p>
            <w:pPr>
              <w:spacing w:after="40"/>
            </w:pPr>
            <w:r/>
            <w:r>
              <w:rPr>
                <w:sz w:val="19"/>
              </w:rPr>
              <w:t>Reject with no reason</w:t>
            </w:r>
          </w:p>
        </w:tc>
        <w:tc>
          <w:tcPr>
            <w:tcW w:type="dxa" w:w="5040"/>
            <w:shd w:val="clear" w:color="auto" w:fill="EEF3F5"/>
          </w:tcPr>
          <w:p>
            <w:pPr>
              <w:spacing w:after="40"/>
            </w:pPr>
            <w:r/>
            <w:r>
              <w:rPr>
                <w:sz w:val="19"/>
              </w:rPr>
              <w:t>400 — reason is @NotBlank.</w:t>
            </w:r>
          </w:p>
        </w:tc>
      </w:tr>
      <w:tr>
        <w:tc>
          <w:tcPr>
            <w:tcW w:type="dxa" w:w="1008"/>
          </w:tcPr>
          <w:p>
            <w:pPr>
              <w:spacing w:after="40"/>
            </w:pPr>
            <w:r/>
            <w:r>
              <w:rPr>
                <w:sz w:val="19"/>
              </w:rPr>
              <w:t>BB-8</w:t>
            </w:r>
          </w:p>
        </w:tc>
        <w:tc>
          <w:tcPr>
            <w:tcW w:type="dxa" w:w="4032"/>
          </w:tcPr>
          <w:p>
            <w:pPr>
              <w:spacing w:after="40"/>
            </w:pPr>
            <w:r/>
            <w:r>
              <w:rPr>
                <w:sz w:val="19"/>
              </w:rPr>
              <w:t>Completeness check on a thin nomination</w:t>
            </w:r>
          </w:p>
        </w:tc>
        <w:tc>
          <w:tcPr>
            <w:tcW w:type="dxa" w:w="5040"/>
          </w:tcPr>
          <w:p>
            <w:pPr>
              <w:spacing w:after="40"/>
            </w:pPr>
            <w:r/>
            <w:r>
              <w:rPr>
                <w:sz w:val="19"/>
              </w:rPr>
              <w:t>200; complete:false, criteria[], non-empty suggestedMessage.</w:t>
            </w:r>
          </w:p>
        </w:tc>
      </w:tr>
      <w:tr>
        <w:tc>
          <w:tcPr>
            <w:tcW w:type="dxa" w:w="1008"/>
            <w:shd w:val="clear" w:color="auto" w:fill="EEF3F5"/>
          </w:tcPr>
          <w:p>
            <w:pPr>
              <w:spacing w:after="40"/>
            </w:pPr>
            <w:r/>
            <w:r>
              <w:rPr>
                <w:sz w:val="19"/>
              </w:rPr>
              <w:t>BB-9</w:t>
            </w:r>
          </w:p>
        </w:tc>
        <w:tc>
          <w:tcPr>
            <w:tcW w:type="dxa" w:w="4032"/>
            <w:shd w:val="clear" w:color="auto" w:fill="EEF3F5"/>
          </w:tcPr>
          <w:p>
            <w:pPr>
              <w:spacing w:after="40"/>
            </w:pPr>
            <w:r/>
            <w:r>
              <w:rPr>
                <w:sz w:val="19"/>
              </w:rPr>
              <w:t>Audit log before any decision</w:t>
            </w:r>
          </w:p>
        </w:tc>
        <w:tc>
          <w:tcPr>
            <w:tcW w:type="dxa" w:w="5040"/>
            <w:shd w:val="clear" w:color="auto" w:fill="EEF3F5"/>
          </w:tcPr>
          <w:p>
            <w:pPr>
              <w:spacing w:after="40"/>
            </w:pPr>
            <w:r/>
            <w:r>
              <w:rPr>
                <w:sz w:val="19"/>
              </w:rPr>
              <w:t>200, empty array — not 404.</w:t>
            </w:r>
          </w:p>
        </w:tc>
      </w:tr>
      <w:tr>
        <w:tc>
          <w:tcPr>
            <w:tcW w:type="dxa" w:w="1008"/>
          </w:tcPr>
          <w:p>
            <w:pPr>
              <w:spacing w:after="40"/>
            </w:pPr>
            <w:r/>
            <w:r>
              <w:rPr>
                <w:sz w:val="19"/>
              </w:rPr>
              <w:t>BB-10</w:t>
            </w:r>
          </w:p>
        </w:tc>
        <w:tc>
          <w:tcPr>
            <w:tcW w:type="dxa" w:w="4032"/>
          </w:tcPr>
          <w:p>
            <w:pPr>
              <w:spacing w:after="40"/>
            </w:pPr>
            <w:r/>
            <w:r>
              <w:rPr>
                <w:sz w:val="19"/>
              </w:rPr>
              <w:t>POST /retag twice</w:t>
            </w:r>
          </w:p>
        </w:tc>
        <w:tc>
          <w:tcPr>
            <w:tcW w:type="dxa" w:w="5040"/>
          </w:tcPr>
          <w:p>
            <w:pPr>
              <w:spacing w:after="40"/>
            </w:pPr>
            <w:r/>
            <w:r>
              <w:rPr>
                <w:sz w:val="19"/>
              </w:rPr>
              <w:t>200 both times — idempotent.</w:t>
            </w:r>
          </w:p>
        </w:tc>
      </w:tr>
      <w:tr>
        <w:tc>
          <w:tcPr>
            <w:tcW w:type="dxa" w:w="1008"/>
            <w:shd w:val="clear" w:color="auto" w:fill="EEF3F5"/>
          </w:tcPr>
          <w:p>
            <w:pPr>
              <w:spacing w:after="40"/>
            </w:pPr>
            <w:r/>
            <w:r>
              <w:rPr>
                <w:sz w:val="19"/>
              </w:rPr>
              <w:t>BB-11</w:t>
            </w:r>
          </w:p>
        </w:tc>
        <w:tc>
          <w:tcPr>
            <w:tcW w:type="dxa" w:w="4032"/>
            <w:shd w:val="clear" w:color="auto" w:fill="EEF3F5"/>
          </w:tcPr>
          <w:p>
            <w:pPr>
              <w:spacing w:after="40"/>
            </w:pPr>
            <w:r/>
            <w:r>
              <w:rPr>
                <w:sz w:val="19"/>
              </w:rPr>
              <w:t>50,000-character WHAT/HOW</w:t>
            </w:r>
          </w:p>
        </w:tc>
        <w:tc>
          <w:tcPr>
            <w:tcW w:type="dxa" w:w="5040"/>
            <w:shd w:val="clear" w:color="auto" w:fill="EEF3F5"/>
          </w:tcPr>
          <w:p>
            <w:pPr>
              <w:spacing w:after="40"/>
            </w:pPr>
            <w:r/>
            <w:r>
              <w:rPr>
                <w:sz w:val="19"/>
              </w:rPr>
              <w:t>Never a 500.</w:t>
            </w:r>
          </w:p>
        </w:tc>
      </w:tr>
      <w:tr>
        <w:tc>
          <w:tcPr>
            <w:tcW w:type="dxa" w:w="1008"/>
          </w:tcPr>
          <w:p>
            <w:pPr>
              <w:spacing w:after="40"/>
            </w:pPr>
            <w:r/>
            <w:r>
              <w:rPr>
                <w:sz w:val="19"/>
              </w:rPr>
              <w:t>BB-12</w:t>
            </w:r>
          </w:p>
        </w:tc>
        <w:tc>
          <w:tcPr>
            <w:tcW w:type="dxa" w:w="4032"/>
          </w:tcPr>
          <w:p>
            <w:pPr>
              <w:spacing w:after="40"/>
            </w:pPr>
            <w:r/>
            <w:r>
              <w:rPr>
                <w:sz w:val="19"/>
              </w:rPr>
              <w:t>Malformed JSON body</w:t>
            </w:r>
          </w:p>
        </w:tc>
        <w:tc>
          <w:tcPr>
            <w:tcW w:type="dxa" w:w="5040"/>
          </w:tcPr>
          <w:p>
            <w:pPr>
              <w:spacing w:after="40"/>
            </w:pPr>
            <w:r/>
            <w:r>
              <w:rPr>
                <w:sz w:val="19"/>
              </w:rPr>
              <w:t>Clean 400, never a 500.</w:t>
            </w:r>
          </w:p>
        </w:tc>
      </w:tr>
      <w:tr>
        <w:tc>
          <w:tcPr>
            <w:tcW w:type="dxa" w:w="1008"/>
          </w:tcPr>
          <w:p>
            <w:pPr>
              <w:spacing w:after="40"/>
            </w:pPr>
            <w:r/>
            <w:r>
              <w:rPr>
                <w:sz w:val="19"/>
              </w:rPr>
              <w:t>BB-13</w:t>
            </w:r>
          </w:p>
        </w:tc>
        <w:tc>
          <w:tcPr>
            <w:tcW w:type="dxa" w:w="4032"/>
          </w:tcPr>
          <w:p>
            <w:pPr>
              <w:spacing w:after="40"/>
            </w:pPr>
            <w:r/>
            <w:r>
              <w:rPr>
                <w:sz w:val="19"/>
              </w:rPr>
              <w:t>Same nominee, 3 different nominators, same quarter</w:t>
            </w:r>
          </w:p>
        </w:tc>
        <w:tc>
          <w:tcPr>
            <w:tcW w:type="dxa" w:w="5040"/>
          </w:tcPr>
          <w:p>
            <w:pPr>
              <w:spacing w:after="40"/>
            </w:pPr>
            <w:r/>
            <w:r>
              <w:rPr>
                <w:sz w:val="19"/>
              </w:rPr>
              <w:t>All three succeed - the quarter limit is scoped to the nominator, not the nominee.</w:t>
            </w:r>
          </w:p>
        </w:tc>
      </w:tr>
      <w:tr>
        <w:tc>
          <w:tcPr>
            <w:tcW w:type="dxa" w:w="1008"/>
          </w:tcPr>
          <w:p>
            <w:pPr>
              <w:spacing w:after="40"/>
            </w:pPr>
            <w:r/>
            <w:r>
              <w:rPr>
                <w:sz w:val="19"/>
              </w:rPr>
              <w:t>BB-14</w:t>
            </w:r>
          </w:p>
        </w:tc>
        <w:tc>
          <w:tcPr>
            <w:tcW w:type="dxa" w:w="4032"/>
          </w:tcPr>
          <w:p>
            <w:pPr>
              <w:spacing w:after="40"/>
            </w:pPr>
            <w:r/>
            <w:r>
              <w:rPr>
                <w:sz w:val="19"/>
              </w:rPr>
              <w:t>Blank whatText</w:t>
            </w:r>
          </w:p>
        </w:tc>
        <w:tc>
          <w:tcPr>
            <w:tcW w:type="dxa" w:w="5040"/>
          </w:tcPr>
          <w:p>
            <w:pPr>
              <w:spacing w:after="40"/>
            </w:pPr>
            <w:r/>
            <w:r>
              <w:rPr>
                <w:sz w:val="19"/>
              </w:rPr>
              <w:t>400, naming whatText specifically.</w:t>
            </w:r>
          </w:p>
        </w:tc>
      </w:tr>
      <w:tr>
        <w:tc>
          <w:tcPr>
            <w:tcW w:type="dxa" w:w="1008"/>
          </w:tcPr>
          <w:p>
            <w:pPr>
              <w:spacing w:after="40"/>
            </w:pPr>
            <w:r/>
            <w:r>
              <w:rPr>
                <w:sz w:val="19"/>
              </w:rPr>
              <w:t>BB-15</w:t>
            </w:r>
          </w:p>
        </w:tc>
        <w:tc>
          <w:tcPr>
            <w:tcW w:type="dxa" w:w="4032"/>
          </w:tcPr>
          <w:p>
            <w:pPr>
              <w:spacing w:after="40"/>
            </w:pPr>
            <w:r/>
            <w:r>
              <w:rPr>
                <w:sz w:val="19"/>
              </w:rPr>
              <w:t>Blank howText</w:t>
            </w:r>
          </w:p>
        </w:tc>
        <w:tc>
          <w:tcPr>
            <w:tcW w:type="dxa" w:w="5040"/>
          </w:tcPr>
          <w:p>
            <w:pPr>
              <w:spacing w:after="40"/>
            </w:pPr>
            <w:r/>
            <w:r>
              <w:rPr>
                <w:sz w:val="19"/>
              </w:rPr>
              <w:t>400, naming howText specifically.</w:t>
            </w:r>
          </w:p>
        </w:tc>
      </w:tr>
      <w:tr>
        <w:tc>
          <w:tcPr>
            <w:tcW w:type="dxa" w:w="1008"/>
          </w:tcPr>
          <w:p>
            <w:pPr>
              <w:spacing w:after="40"/>
            </w:pPr>
            <w:r/>
            <w:r>
              <w:rPr>
                <w:sz w:val="19"/>
              </w:rPr>
              <w:t>BB-16</w:t>
            </w:r>
          </w:p>
        </w:tc>
        <w:tc>
          <w:tcPr>
            <w:tcW w:type="dxa" w:w="4032"/>
          </w:tcPr>
          <w:p>
            <w:pPr>
              <w:spacing w:after="40"/>
            </w:pPr>
            <w:r/>
            <w:r>
              <w:rPr>
                <w:sz w:val="19"/>
              </w:rPr>
              <w:t>Blank nomineeEmail</w:t>
            </w:r>
          </w:p>
        </w:tc>
        <w:tc>
          <w:tcPr>
            <w:tcW w:type="dxa" w:w="5040"/>
          </w:tcPr>
          <w:p>
            <w:pPr>
              <w:spacing w:after="40"/>
            </w:pPr>
            <w:r/>
            <w:r>
              <w:rPr>
                <w:sz w:val="19"/>
              </w:rPr>
              <w:t>400, naming nomineeEmail specifically.</w:t>
            </w:r>
          </w:p>
        </w:tc>
      </w:tr>
      <w:tr>
        <w:tc>
          <w:tcPr>
            <w:tcW w:type="dxa" w:w="1008"/>
          </w:tcPr>
          <w:p>
            <w:pPr>
              <w:spacing w:after="40"/>
            </w:pPr>
            <w:r/>
            <w:r>
              <w:rPr>
                <w:sz w:val="19"/>
              </w:rPr>
              <w:t>BB-17</w:t>
            </w:r>
          </w:p>
        </w:tc>
        <w:tc>
          <w:tcPr>
            <w:tcW w:type="dxa" w:w="4032"/>
          </w:tcPr>
          <w:p>
            <w:pPr>
              <w:spacing w:after="40"/>
            </w:pPr>
            <w:r/>
            <w:r>
              <w:rPr>
                <w:sz w:val="19"/>
              </w:rPr>
              <w:t>Nominator identity in the response</w:t>
            </w:r>
          </w:p>
        </w:tc>
        <w:tc>
          <w:tcPr>
            <w:tcW w:type="dxa" w:w="5040"/>
          </w:tcPr>
          <w:p>
            <w:pPr>
              <w:spacing w:after="40"/>
            </w:pPr>
            <w:r/>
            <w:r>
              <w:rPr>
                <w:sz w:val="19"/>
              </w:rPr>
              <w:t>Matches exactly what was submitted - no server-side "current user" substitution to go wrong.</w:t>
            </w:r>
          </w:p>
        </w:tc>
      </w:tr>
      <w:tr>
        <w:tc>
          <w:tcPr>
            <w:tcW w:type="dxa" w:w="1008"/>
          </w:tcPr>
          <w:p>
            <w:pPr>
              <w:spacing w:after="40"/>
            </w:pPr>
            <w:r/>
            <w:r>
              <w:rPr>
                <w:sz w:val="19"/>
              </w:rPr>
              <w:t>BB-18</w:t>
            </w:r>
          </w:p>
        </w:tc>
        <w:tc>
          <w:tcPr>
            <w:tcW w:type="dxa" w:w="4032"/>
          </w:tcPr>
          <w:p>
            <w:pPr>
              <w:spacing w:after="40"/>
            </w:pPr>
            <w:r/>
            <w:r>
              <w:rPr>
                <w:sz w:val="19"/>
              </w:rPr>
              <w:t>Whitespace-only whatText (spaces/newlines, no visible content)</w:t>
            </w:r>
          </w:p>
        </w:tc>
        <w:tc>
          <w:tcPr>
            <w:tcW w:type="dxa" w:w="5040"/>
          </w:tcPr>
          <w:p>
            <w:pPr>
              <w:spacing w:after="40"/>
            </w:pPr>
            <w:r/>
            <w:r>
              <w:rPr>
                <w:sz w:val="19"/>
              </w:rPr>
              <w:t>400, same as a genuinely blank field.</w:t>
            </w:r>
          </w:p>
        </w:tc>
      </w:tr>
      <w:tr>
        <w:tc>
          <w:tcPr>
            <w:tcW w:type="dxa" w:w="1008"/>
          </w:tcPr>
          <w:p>
            <w:pPr>
              <w:spacing w:after="40"/>
            </w:pPr>
            <w:r/>
            <w:r>
              <w:rPr>
                <w:sz w:val="19"/>
              </w:rPr>
              <w:t>BB-19</w:t>
            </w:r>
          </w:p>
        </w:tc>
        <w:tc>
          <w:tcPr>
            <w:tcW w:type="dxa" w:w="4032"/>
          </w:tcPr>
          <w:p>
            <w:pPr>
              <w:spacing w:after="40"/>
            </w:pPr>
            <w:r/>
            <w:r>
              <w:rPr>
                <w:sz w:val="19"/>
              </w:rPr>
              <w:t>PUT or DELETE on /audit-log</w:t>
            </w:r>
          </w:p>
        </w:tc>
        <w:tc>
          <w:tcPr>
            <w:tcW w:type="dxa" w:w="5040"/>
          </w:tcPr>
          <w:p>
            <w:pPr>
              <w:spacing w:after="40"/>
            </w:pPr>
            <w:r/>
            <w:r>
              <w:rPr>
                <w:sz w:val="19"/>
              </w:rPr>
              <w:t>Neither is supported - nothing in the public API can alter an existing audit entry.</w:t>
            </w:r>
          </w:p>
        </w:tc>
      </w:tr>
      <w:tr>
        <w:tc>
          <w:tcPr>
            <w:tcW w:type="dxa" w:w="1008"/>
          </w:tcPr>
          <w:p>
            <w:pPr>
              <w:spacing w:after="40"/>
            </w:pPr>
            <w:r/>
            <w:r>
              <w:rPr>
                <w:sz w:val="19"/>
              </w:rPr>
              <w:t>BB-20</w:t>
            </w:r>
          </w:p>
        </w:tc>
        <w:tc>
          <w:tcPr>
            <w:tcW w:type="dxa" w:w="4032"/>
          </w:tcPr>
          <w:p>
            <w:pPr>
              <w:spacing w:after="40"/>
            </w:pPr>
            <w:r/>
            <w:r>
              <w:rPr>
                <w:sz w:val="19"/>
              </w:rPr>
              <w:t>(BUG, pinned as regression) Two simultaneous approve calls on the same pending nomination</w:t>
            </w:r>
          </w:p>
        </w:tc>
        <w:tc>
          <w:tcPr>
            <w:tcW w:type="dxa" w:w="5040"/>
          </w:tcPr>
          <w:p>
            <w:pPr>
              <w:spacing w:after="40"/>
            </w:pPr>
            <w:r/>
            <w:r>
              <w:rPr>
                <w:sz w:val="19"/>
              </w:rPr>
              <w:t>Both currently return 200 OK, instead of the second being rejected the way BB-6's sequential double-approve is. See Part 7 finding.</w:t>
            </w:r>
          </w:p>
        </w:tc>
      </w:tr>
      <w:tr>
        <w:tc>
          <w:tcPr>
            <w:tcW w:type="dxa" w:w="1008"/>
          </w:tcPr>
          <w:p>
            <w:pPr>
              <w:spacing w:after="40"/>
            </w:pPr>
            <w:r/>
            <w:r>
              <w:rPr>
                <w:sz w:val="19"/>
              </w:rPr>
              <w:t>BB-21</w:t>
            </w:r>
          </w:p>
        </w:tc>
        <w:tc>
          <w:tcPr>
            <w:tcW w:type="dxa" w:w="4032"/>
          </w:tcPr>
          <w:p>
            <w:pPr>
              <w:spacing w:after="40"/>
            </w:pPr>
            <w:r/>
            <w:r>
              <w:rPr>
                <w:sz w:val="19"/>
              </w:rPr>
              <w:t>WHAT text containing a &lt;script&gt; tag</w:t>
            </w:r>
          </w:p>
        </w:tc>
        <w:tc>
          <w:tcPr>
            <w:tcW w:type="dxa" w:w="5040"/>
          </w:tcPr>
          <w:p>
            <w:pPr>
              <w:spacing w:after="40"/>
            </w:pPr>
            <w:r/>
            <w:r>
              <w:rPr>
                <w:sz w:val="19"/>
              </w:rPr>
              <w:t>Stored and returned as literal text, never stripped or executed - escaping on display is app.js's job, not the API's.</w:t>
            </w:r>
          </w:p>
        </w:tc>
      </w:tr>
      <w:tr>
        <w:tc>
          <w:tcPr>
            <w:tcW w:type="dxa" w:w="1008"/>
          </w:tcPr>
          <w:p>
            <w:pPr>
              <w:spacing w:after="40"/>
            </w:pPr>
            <w:r/>
            <w:r>
              <w:rPr>
                <w:sz w:val="19"/>
              </w:rPr>
              <w:t>BB-22</w:t>
            </w:r>
          </w:p>
        </w:tc>
        <w:tc>
          <w:tcPr>
            <w:tcW w:type="dxa" w:w="4032"/>
          </w:tcPr>
          <w:p>
            <w:pPr>
              <w:spacing w:after="40"/>
            </w:pPr>
            <w:r/>
            <w:r>
              <w:rPr>
                <w:sz w:val="19"/>
              </w:rPr>
              <w:t>Emoji and non-Latin characters in WHAT/HOW</w:t>
            </w:r>
          </w:p>
        </w:tc>
        <w:tc>
          <w:tcPr>
            <w:tcW w:type="dxa" w:w="5040"/>
          </w:tcPr>
          <w:p>
            <w:pPr>
              <w:spacing w:after="40"/>
            </w:pPr>
            <w:r/>
            <w:r>
              <w:rPr>
                <w:sz w:val="19"/>
              </w:rPr>
              <w:t>Round-trip exactly through submit -&gt; GET.</w:t>
            </w:r>
          </w:p>
        </w:tc>
      </w:tr>
    </w:tbl>
    <w:p/>
    <w:p>
      <w:r>
        <w:br w:type="page"/>
      </w:r>
    </w:p>
    <w:p>
      <w:pPr>
        <w:pStyle w:val="Heading2"/>
      </w:pPr>
      <w:r>
        <w:rPr>
          <w:color w:val="1F4E5F"/>
        </w:rPr>
        <w:t>4.4 UAT (User Acceptance Testing) Scenarios</w:t>
      </w:r>
    </w:p>
    <w:p>
      <w:pPr>
        <w:spacing w:after="200"/>
      </w:pPr>
      <w:r>
        <w:t>Automated as: src/test/resources/features/*.feature (Gherkin) + src/test/java/.../uat/NominationApiSteps.java (step definitions). Run via RunCucumberTest, part of ./mvnw test.</w:t>
      </w:r>
    </w:p>
    <w:p>
      <w:pPr>
        <w:spacing w:before="160" w:after="80"/>
      </w:pPr>
      <w:r>
        <w:rPr>
          <w:b/>
          <w:color w:val="1F4E5F"/>
          <w:sz w:val="22"/>
        </w:rPr>
        <w:t>As a nominator (Epic 1 — submission) — nominator.feature</w:t>
      </w:r>
    </w:p>
    <w:p>
      <w:pPr>
        <w:pStyle w:val="ListBullet"/>
        <w:spacing w:after="80"/>
      </w:pPr>
      <w:r>
        <w:rPr>
          <w:b/>
        </w:rPr>
        <w:t xml:space="preserve">UAT-1: </w:t>
      </w:r>
      <w:r>
        <w:t>Submitting a Star Award gets confirmation it was received.</w:t>
      </w:r>
    </w:p>
    <w:p>
      <w:pPr>
        <w:pStyle w:val="ListBullet"/>
        <w:spacing w:after="80"/>
      </w:pPr>
      <w:r>
        <w:rPr>
          <w:b/>
        </w:rPr>
        <w:t xml:space="preserve">UAT-2: </w:t>
      </w:r>
      <w:r>
        <w:t>Can't submit more than one nomination in a quarter; told clearly when I can again.</w:t>
      </w:r>
    </w:p>
    <w:p>
      <w:pPr>
        <w:pStyle w:val="ListBullet"/>
        <w:spacing w:after="80"/>
      </w:pPr>
      <w:r>
        <w:rPr>
          <w:b/>
        </w:rPr>
        <w:t xml:space="preserve">UAT-3: </w:t>
      </w:r>
      <w:r>
        <w:t>A sent-back nomination can be fixed without starting over, and doesn't use another quarterly slot.</w:t>
      </w:r>
    </w:p>
    <w:p>
      <w:pPr>
        <w:spacing w:before="160" w:after="80"/>
      </w:pPr>
      <w:r>
        <w:rPr>
          <w:b/>
          <w:color w:val="1F4E5F"/>
          <w:sz w:val="22"/>
        </w:rPr>
        <w:t>As a nominee — nominee.feature</w:t>
      </w:r>
    </w:p>
    <w:p>
      <w:pPr>
        <w:pStyle w:val="ListBullet"/>
        <w:spacing w:after="80"/>
      </w:pPr>
      <w:r>
        <w:rPr>
          <w:b/>
        </w:rPr>
        <w:t xml:space="preserve">UAT-4: </w:t>
      </w:r>
      <w:r>
        <w:t>An approved nominee's comms record includes the full WHAT/HOW text, not just a bare notification.</w:t>
      </w:r>
    </w:p>
    <w:p>
      <w:pPr>
        <w:spacing w:before="160" w:after="80"/>
      </w:pPr>
      <w:r>
        <w:rPr>
          <w:b/>
          <w:color w:val="1F4E5F"/>
          <w:sz w:val="22"/>
        </w:rPr>
        <w:t>As a coordinator (Epic 3/6) — coordinator.feature</w:t>
      </w:r>
    </w:p>
    <w:p>
      <w:pPr>
        <w:pStyle w:val="ListBullet"/>
        <w:spacing w:after="80"/>
      </w:pPr>
      <w:r>
        <w:rPr>
          <w:b/>
        </w:rPr>
        <w:t xml:space="preserve">UAT-5: </w:t>
      </w:r>
      <w:r>
        <w:t>Rule-raised flags (e.g. ROUTINE_TASK_LANGUAGE) are visible with a readable reason, no digging.</w:t>
      </w:r>
    </w:p>
    <w:p>
      <w:pPr>
        <w:pStyle w:val="ListBullet"/>
        <w:spacing w:after="80"/>
      </w:pPr>
      <w:r>
        <w:rPr>
          <w:b/>
        </w:rPr>
        <w:t xml:space="preserve">UAT-6: </w:t>
      </w:r>
      <w:r>
        <w:t>A rejection is recorded; only the nominator's comms exist, never the nominee's.</w:t>
      </w:r>
    </w:p>
    <w:p>
      <w:pPr>
        <w:pStyle w:val="ListBullet"/>
        <w:spacing w:after="80"/>
      </w:pPr>
      <w:r>
        <w:rPr>
          <w:b/>
        </w:rPr>
        <w:t xml:space="preserve">UAT-7: </w:t>
      </w:r>
      <w:r>
        <w:t>The completeness check gives ready-to-send wording in one click.</w:t>
      </w:r>
    </w:p>
    <w:p>
      <w:pPr>
        <w:pStyle w:val="ListBullet"/>
        <w:spacing w:after="80"/>
      </w:pPr>
      <w:r>
        <w:rPr>
          <w:b/>
        </w:rPr>
        <w:t xml:space="preserve">UAT-8: </w:t>
      </w:r>
      <w:r>
        <w:t>The audit log shows the coordinator's email, the action, and a timestamp.</w:t>
      </w:r>
    </w:p>
    <w:p>
      <w:pPr>
        <w:spacing w:before="160" w:after="80"/>
      </w:pPr>
      <w:r>
        <w:rPr>
          <w:b/>
          <w:color w:val="1F4E5F"/>
          <w:sz w:val="22"/>
        </w:rPr>
        <w:t>Explicit non-goals — known-gaps.feature</w:t>
      </w:r>
    </w:p>
    <w:p>
      <w:pPr>
        <w:pStyle w:val="ListBullet"/>
        <w:spacing w:after="80"/>
      </w:pPr>
      <w:r>
        <w:rPr>
          <w:b/>
        </w:rPr>
        <w:t xml:space="preserve">UAT-9: </w:t>
      </w:r>
      <w:r>
        <w:t>No authentication yet — the API accepts a decision on the coordinator email alone, no credential check.</w:t>
      </w:r>
    </w:p>
    <w:p>
      <w:pPr>
        <w:pStyle w:val="ListBullet"/>
        <w:spacing w:after="80"/>
      </w:pPr>
      <w:r>
        <w:rPr>
          <w:b/>
        </w:rPr>
        <w:t xml:space="preserve">UAT-10: </w:t>
      </w:r>
      <w:r>
        <w:t>No real email delivery — comms are composed and logged with exact subject/body, never claimed as sent.</w:t>
      </w:r>
    </w:p>
    <w:p>
      <w:pPr>
        <w:pStyle w:val="ListBullet"/>
        <w:spacing w:after="80"/>
      </w:pPr>
      <w:r>
        <w:rPr>
          <w:b/>
        </w:rPr>
        <w:t xml:space="preserve">UAT-11: </w:t>
      </w:r>
      <w:r>
        <w:t>EmployeeStatusCheck never raises NOMINEE_NOT_ACTIVE_EMPLOYEE yet (no HR feed wired up).</w:t>
      </w:r>
    </w:p>
    <w:p>
      <w:r>
        <w:br w:type="page"/>
      </w:r>
    </w:p>
    <w:p>
      <w:pPr>
        <w:pStyle w:val="Heading1"/>
      </w:pPr>
      <w:r>
        <w:rPr>
          <w:color w:val="1F4E5F"/>
        </w:rPr>
        <w:t>Part 5 — Unit Test Suite (Domain Logic)</w:t>
      </w:r>
    </w:p>
    <w:p>
      <w:pPr>
        <w:spacing w:after="200"/>
      </w:pPr>
      <w:r>
        <w:t>Beneath the four scenario-driven tiers above sits a straightforward JUnit 5 + Mockito + AssertJ unit test suite covering the core domain logic directly — no Spring context, no HTTP, fastest to run and the first line of defense against a regression. All located under src/test/java/com/version1/recognition/nomination/.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1F4E5F"/>
          </w:tcPr>
          <w:p>
            <w:r/>
            <w:r>
              <w:rPr>
                <w:b/>
                <w:color w:val="FFFFFF"/>
                <w:sz w:val="20"/>
              </w:rPr>
              <w:t>Test class</w:t>
            </w:r>
          </w:p>
        </w:tc>
        <w:tc>
          <w:tcPr>
            <w:tcW w:type="dxa" w:w="864"/>
            <w:shd w:val="clear" w:color="auto" w:fill="1F4E5F"/>
          </w:tcPr>
          <w:p>
            <w:r/>
            <w:r>
              <w:rPr>
                <w:b/>
                <w:color w:val="FFFFFF"/>
                <w:sz w:val="20"/>
              </w:rPr>
              <w:t>Tests</w:t>
            </w:r>
          </w:p>
        </w:tc>
        <w:tc>
          <w:tcPr>
            <w:tcW w:type="dxa" w:w="6480"/>
            <w:shd w:val="clear" w:color="auto" w:fill="1F4E5F"/>
          </w:tcPr>
          <w:p>
            <w:r/>
            <w:r>
              <w:rPr>
                <w:b/>
                <w:color w:val="FFFFFF"/>
                <w:sz w:val="20"/>
              </w:rPr>
              <w:t>Covers</w:t>
            </w:r>
          </w:p>
        </w:tc>
      </w:tr>
      <w:tr>
        <w:tc>
          <w:tcPr>
            <w:tcW w:type="dxa" w:w="2736"/>
          </w:tcPr>
          <w:p>
            <w:pPr>
              <w:spacing w:after="40"/>
            </w:pPr>
            <w:r/>
            <w:r>
              <w:rPr>
                <w:sz w:val="19"/>
              </w:rPr>
              <w:t>QuarterTest</w:t>
            </w:r>
          </w:p>
        </w:tc>
        <w:tc>
          <w:tcPr>
            <w:tcW w:type="dxa" w:w="864"/>
          </w:tcPr>
          <w:p>
            <w:pPr>
              <w:spacing w:after="40"/>
            </w:pPr>
            <w:r/>
            <w:r>
              <w:rPr>
                <w:sz w:val="19"/>
              </w:rPr>
              <w:t>40</w:t>
            </w:r>
          </w:p>
        </w:tc>
        <w:tc>
          <w:tcPr>
            <w:tcW w:type="dxa" w:w="6480"/>
          </w:tcPr>
          <w:p>
            <w:pPr>
              <w:spacing w:after="40"/>
            </w:pPr>
            <w:r/>
            <w:r>
              <w:rPr>
                <w:sz w:val="19"/>
              </w:rPr>
              <w:t>Quarter mapping across every month, year-boundary rollover on previous()/next(), the Friday-deadline backward-walk, parse() malformed/null input, value semantics (equals/compareTo).</w:t>
            </w:r>
          </w:p>
        </w:tc>
      </w:tr>
      <w:tr>
        <w:tc>
          <w:tcPr>
            <w:tcW w:type="dxa" w:w="2736"/>
            <w:shd w:val="clear" w:color="auto" w:fill="EEF3F5"/>
          </w:tcPr>
          <w:p>
            <w:pPr>
              <w:spacing w:after="40"/>
            </w:pPr>
            <w:r/>
            <w:r>
              <w:rPr>
                <w:sz w:val="19"/>
              </w:rPr>
              <w:t>TaggingServiceTest</w:t>
            </w:r>
          </w:p>
        </w:tc>
        <w:tc>
          <w:tcPr>
            <w:tcW w:type="dxa" w:w="864"/>
            <w:shd w:val="clear" w:color="auto" w:fill="EEF3F5"/>
          </w:tcPr>
          <w:p>
            <w:pPr>
              <w:spacing w:after="40"/>
            </w:pPr>
            <w:r/>
            <w:r>
              <w:rPr>
                <w:sz w:val="19"/>
              </w:rPr>
              <w:t>6</w:t>
            </w:r>
          </w:p>
        </w:tc>
        <w:tc>
          <w:tcPr>
            <w:tcW w:type="dxa" w:w="6480"/>
            <w:shd w:val="clear" w:color="auto" w:fill="EEF3F5"/>
          </w:tcPr>
          <w:p>
            <w:pPr>
              <w:spacing w:after="40"/>
            </w:pPr>
            <w:r/>
            <w:r>
              <w:rPr>
                <w:sz w:val="19"/>
              </w:rPr>
              <w:t>Fault isolation — one NominationCheck throwing doesn't stop the other five; AI/rule flag merge behavior on retagAll().</w:t>
            </w:r>
          </w:p>
        </w:tc>
      </w:tr>
      <w:tr>
        <w:tc>
          <w:tcPr>
            <w:tcW w:type="dxa" w:w="2736"/>
          </w:tcPr>
          <w:p>
            <w:pPr>
              <w:spacing w:after="40"/>
            </w:pPr>
            <w:r/>
            <w:r>
              <w:rPr>
                <w:sz w:val="19"/>
              </w:rPr>
              <w:t>WeakJustificationCheckTest</w:t>
            </w:r>
          </w:p>
        </w:tc>
        <w:tc>
          <w:tcPr>
            <w:tcW w:type="dxa" w:w="864"/>
          </w:tcPr>
          <w:p>
            <w:pPr>
              <w:spacing w:after="40"/>
            </w:pPr>
            <w:r/>
            <w:r>
              <w:rPr>
                <w:sz w:val="19"/>
              </w:rPr>
              <w:t>9</w:t>
            </w:r>
          </w:p>
        </w:tc>
        <w:tc>
          <w:tcPr>
            <w:tcW w:type="dxa" w:w="6480"/>
          </w:tcPr>
          <w:p>
            <w:pPr>
              <w:spacing w:after="40"/>
            </w:pPr>
            <w:r/>
            <w:r>
              <w:rPr>
                <w:sz w:val="19"/>
              </w:rPr>
              <w:t>The 150-char boundary (149 vs. 150 exact), the 2-of-3 signal threshold.</w:t>
            </w:r>
          </w:p>
        </w:tc>
      </w:tr>
      <w:tr>
        <w:tc>
          <w:tcPr>
            <w:tcW w:type="dxa" w:w="2736"/>
            <w:shd w:val="clear" w:color="auto" w:fill="EEF3F5"/>
          </w:tcPr>
          <w:p>
            <w:pPr>
              <w:spacing w:after="40"/>
            </w:pPr>
            <w:r/>
            <w:r>
              <w:rPr>
                <w:sz w:val="19"/>
              </w:rPr>
              <w:t>RoutineLanguageCheckTest</w:t>
            </w:r>
          </w:p>
        </w:tc>
        <w:tc>
          <w:tcPr>
            <w:tcW w:type="dxa" w:w="864"/>
            <w:shd w:val="clear" w:color="auto" w:fill="EEF3F5"/>
          </w:tcPr>
          <w:p>
            <w:pPr>
              <w:spacing w:after="40"/>
            </w:pPr>
            <w:r/>
            <w:r>
              <w:rPr>
                <w:sz w:val="19"/>
              </w:rPr>
              <w:t>18</w:t>
            </w:r>
          </w:p>
        </w:tc>
        <w:tc>
          <w:tcPr>
            <w:tcW w:type="dxa" w:w="6480"/>
            <w:shd w:val="clear" w:color="auto" w:fill="EEF3F5"/>
          </w:tcPr>
          <w:p>
            <w:pPr>
              <w:spacing w:after="40"/>
            </w:pPr>
            <w:r/>
            <w:r>
              <w:rPr>
                <w:sz w:val="19"/>
              </w:rPr>
              <w:t>Every routine-duty and generic-praise phrase; documented blunt-matching limitation.</w:t>
            </w:r>
          </w:p>
        </w:tc>
      </w:tr>
      <w:tr>
        <w:tc>
          <w:tcPr>
            <w:tcW w:type="dxa" w:w="2736"/>
          </w:tcPr>
          <w:p>
            <w:pPr>
              <w:spacing w:after="40"/>
            </w:pPr>
            <w:r/>
            <w:r>
              <w:rPr>
                <w:sz w:val="19"/>
              </w:rPr>
              <w:t>CompletenessServiceTest</w:t>
            </w:r>
          </w:p>
        </w:tc>
        <w:tc>
          <w:tcPr>
            <w:tcW w:type="dxa" w:w="864"/>
          </w:tcPr>
          <w:p>
            <w:pPr>
              <w:spacing w:after="40"/>
            </w:pPr>
            <w:r/>
            <w:r>
              <w:rPr>
                <w:sz w:val="19"/>
              </w:rPr>
              <w:t>18</w:t>
            </w:r>
          </w:p>
        </w:tc>
        <w:tc>
          <w:tcPr>
            <w:tcW w:type="dxa" w:w="6480"/>
          </w:tcPr>
          <w:p>
            <w:pPr>
              <w:spacing w:after="40"/>
            </w:pPr>
            <w:r/>
            <w:r>
              <w:rPr>
                <w:sz w:val="19"/>
              </w:rPr>
              <w:t>80/60-char boundaries, the IMPACT_WORDS regex regression case, singular/plural message wording — see Part 7 for the ordering finding.</w:t>
            </w:r>
          </w:p>
        </w:tc>
      </w:tr>
      <w:tr>
        <w:tc>
          <w:tcPr>
            <w:tcW w:type="dxa" w:w="2736"/>
            <w:shd w:val="clear" w:color="auto" w:fill="EEF3F5"/>
          </w:tcPr>
          <w:p>
            <w:pPr>
              <w:spacing w:after="40"/>
            </w:pPr>
            <w:r/>
            <w:r>
              <w:rPr>
                <w:sz w:val="19"/>
              </w:rPr>
              <w:t>EvaluatorSelectorTest</w:t>
            </w:r>
          </w:p>
        </w:tc>
        <w:tc>
          <w:tcPr>
            <w:tcW w:type="dxa" w:w="864"/>
            <w:shd w:val="clear" w:color="auto" w:fill="EEF3F5"/>
          </w:tcPr>
          <w:p>
            <w:pPr>
              <w:spacing w:after="40"/>
            </w:pPr>
            <w:r/>
            <w:r>
              <w:rPr>
                <w:sz w:val="19"/>
              </w:rPr>
              <w:t>8</w:t>
            </w:r>
          </w:p>
        </w:tc>
        <w:tc>
          <w:tcPr>
            <w:tcW w:type="dxa" w:w="6480"/>
            <w:shd w:val="clear" w:color="auto" w:fill="EEF3F5"/>
          </w:tcPr>
          <w:p>
            <w:pPr>
              <w:spacing w:after="40"/>
            </w:pPr>
            <w:r/>
            <w:r>
              <w:rPr>
                <w:sz w:val="19"/>
              </w:rPr>
              <w:t>Full mode x availability decision table (auto/mock/groq x available/unavailable).</w:t>
            </w:r>
          </w:p>
        </w:tc>
      </w:tr>
      <w:tr>
        <w:tc>
          <w:tcPr>
            <w:tcW w:type="dxa" w:w="2736"/>
          </w:tcPr>
          <w:p>
            <w:pPr>
              <w:spacing w:after="40"/>
            </w:pPr>
            <w:r/>
            <w:r>
              <w:rPr>
                <w:sz w:val="19"/>
              </w:rPr>
              <w:t>NominationServiceTest</w:t>
            </w:r>
          </w:p>
        </w:tc>
        <w:tc>
          <w:tcPr>
            <w:tcW w:type="dxa" w:w="864"/>
          </w:tcPr>
          <w:p>
            <w:pPr>
              <w:spacing w:after="40"/>
            </w:pPr>
            <w:r/>
            <w:r>
              <w:rPr>
                <w:sz w:val="19"/>
              </w:rPr>
              <w:t>20</w:t>
            </w:r>
          </w:p>
        </w:tc>
        <w:tc>
          <w:tcPr>
            <w:tcW w:type="dxa" w:w="6480"/>
          </w:tcPr>
          <w:p>
            <w:pPr>
              <w:spacing w:after="40"/>
            </w:pPr>
            <w:r/>
            <w:r>
              <w:rPr>
                <w:sz w:val="19"/>
              </w:rPr>
              <w:t>Self-nomination, quarter limit + resubmission bypass, AI fallback (unavailable/error/overlap), approve/reject/resubmission comms routing, double-decision guard. Also: an existing nomination from the previous quarter never blocks a new submission, flags never change the outcome no matter how many trip, and the coordinator email + comms-sent timestamp are recorded on every decision (approve/reject/resubmission).</w:t>
            </w:r>
          </w:p>
        </w:tc>
      </w:tr>
      <w:tr>
        <w:tc>
          <w:tcPr>
            <w:tcW w:type="dxa" w:w="2736"/>
          </w:tcPr>
          <w:p>
            <w:pPr>
              <w:spacing w:after="40"/>
            </w:pPr>
            <w:r/>
            <w:r>
              <w:rPr>
                <w:sz w:val="19"/>
              </w:rPr>
              <w:t>ReciprocalNominationCheckTest</w:t>
            </w:r>
          </w:p>
        </w:tc>
        <w:tc>
          <w:tcPr>
            <w:tcW w:type="dxa" w:w="864"/>
          </w:tcPr>
          <w:p>
            <w:pPr>
              <w:spacing w:after="40"/>
            </w:pPr>
            <w:r/>
            <w:r>
              <w:rPr>
                <w:sz w:val="19"/>
              </w:rPr>
              <w:t>6</w:t>
            </w:r>
          </w:p>
        </w:tc>
        <w:tc>
          <w:tcPr>
            <w:tcW w:type="dxa" w:w="6480"/>
          </w:tcPr>
          <w:p>
            <w:pPr>
              <w:spacing w:after="40"/>
            </w:pPr>
            <w:r/>
            <w:r>
              <w:rPr>
                <w:sz w:val="19"/>
              </w:rPr>
              <w:t>A nominates B / B nominates A pairing, case- and whitespace-insensitive email matching, a nomination never matching itself, and an unrelated third-party nomination not producing a false match.</w:t>
            </w:r>
          </w:p>
        </w:tc>
      </w:tr>
      <w:tr>
        <w:tc>
          <w:tcPr>
            <w:tcW w:type="dxa" w:w="2736"/>
          </w:tcPr>
          <w:p>
            <w:pPr>
              <w:spacing w:after="40"/>
            </w:pPr>
            <w:r/>
            <w:r>
              <w:rPr>
                <w:sz w:val="19"/>
              </w:rPr>
              <w:t>RepeatNominationCheckTest</w:t>
            </w:r>
          </w:p>
        </w:tc>
        <w:tc>
          <w:tcPr>
            <w:tcW w:type="dxa" w:w="864"/>
          </w:tcPr>
          <w:p>
            <w:pPr>
              <w:spacing w:after="40"/>
            </w:pPr>
            <w:r/>
            <w:r>
              <w:rPr>
                <w:sz w:val="19"/>
              </w:rPr>
              <w:t>8</w:t>
            </w:r>
          </w:p>
        </w:tc>
        <w:tc>
          <w:tcPr>
            <w:tcW w:type="dxa" w:w="6480"/>
          </w:tcPr>
          <w:p>
            <w:pPr>
              <w:spacing w:after="40"/>
            </w:pPr>
            <w:r/>
            <w:r>
              <w:rPr>
                <w:sz w:val="19"/>
              </w:rPr>
              <w:t>Same nominee flagged only for the immediately preceding quarter (not two quarters back, not the same quarter), different-nominee exclusion, self-match guard, null-safety on submittedAt and nomineeEmail.</w:t>
            </w:r>
          </w:p>
        </w:tc>
      </w:tr>
    </w:tbl>
    <w:p/>
    <w:p>
      <w:pPr>
        <w:spacing w:after="200"/>
      </w:pPr>
      <w:r>
        <w:t>Run the whole tier:</w:t>
      </w:r>
    </w:p>
    <w:p>
      <w:pPr>
        <w:spacing w:after="0" w:before="0"/>
        <w:shd w:val="clear" w:color="auto" w:fill="F3F3F3"/>
      </w:pPr>
      <w:r>
        <w:rPr>
          <w:rFonts w:ascii="Consolas" w:hAnsi="Consolas"/>
          <w:sz w:val="19"/>
        </w:rPr>
        <w:t>./mvnw test -Dtest=QuarterTest,TaggingServiceTest,WeakJustificationCheckTest,RoutineLanguageCheckTest,CompletenessServiceTest,EvaluatorSelectorTest,NominationServiceTest</w:t>
      </w:r>
    </w:p>
    <w:p>
      <w:pPr>
        <w:spacing w:after="80"/>
      </w:pPr>
    </w:p>
    <w:p>
      <w:r>
        <w:br w:type="page"/>
      </w:r>
    </w:p>
    <w:p>
      <w:pPr>
        <w:pStyle w:val="Heading1"/>
      </w:pPr>
      <w:r>
        <w:rPr>
          <w:color w:val="1F4E5F"/>
        </w:rPr>
        <w:t>Part 6 — Continuous Integration</w:t>
      </w:r>
    </w:p>
    <w:p>
      <w:pPr>
        <w:spacing w:after="200"/>
      </w:pPr>
      <w:r>
        <w:t>GitHub Actions workflow at .github/workflows/ci.yml — replaces the project's original junit-tests.yml stub, which only ran actions/checkout and echo "Hello" (this discrepancy against the README's "No automated tests" claim was itself the first thing this whole test program traced).</w:t>
      </w:r>
    </w:p>
    <w:p>
      <w:pPr>
        <w:pStyle w:val="Heading2"/>
      </w:pPr>
      <w:r>
        <w:rPr>
          <w:color w:val="1F4E5F"/>
        </w:rPr>
        <w:t>Triggers</w:t>
      </w:r>
    </w:p>
    <w:p>
      <w:pPr>
        <w:pStyle w:val="ListBullet"/>
        <w:spacing w:after="60"/>
      </w:pPr>
      <w:r>
        <w:t>push to main</w:t>
      </w:r>
    </w:p>
    <w:p>
      <w:pPr>
        <w:pStyle w:val="ListBullet"/>
        <w:spacing w:after="60"/>
      </w:pPr>
      <w:r>
        <w:t>every pull request</w:t>
      </w:r>
    </w:p>
    <w:p>
      <w:pPr>
        <w:pStyle w:val="ListBullet"/>
        <w:spacing w:after="60"/>
      </w:pPr>
      <w:r>
        <w:t>workflow_dispatch (manual run from the Actions tab)</w:t>
      </w:r>
    </w:p>
    <w:p>
      <w:pPr>
        <w:pStyle w:val="Heading2"/>
      </w:pPr>
      <w:r>
        <w:rPr>
          <w:color w:val="1F4E5F"/>
        </w:rPr>
        <w:t>Job: java-tests</w:t>
      </w:r>
    </w:p>
    <w:p>
      <w:pPr>
        <w:pStyle w:val="ListBullet"/>
        <w:spacing w:after="60"/>
      </w:pPr>
      <w:r>
        <w:t>Sets up JDK 17 (Temurin), Maven dependency caching</w:t>
      </w:r>
    </w:p>
    <w:p>
      <w:pPr>
        <w:pStyle w:val="ListBullet"/>
        <w:spacing w:after="60"/>
      </w:pPr>
      <w:r>
        <w:t>Runs ./mvnw -B test — unit + black-box + UAT, all in one pass</w:t>
      </w:r>
    </w:p>
    <w:p>
      <w:pPr>
        <w:pStyle w:val="ListBullet"/>
        <w:spacing w:after="60"/>
      </w:pPr>
      <w:r>
        <w:t>Uploads target/surefire-reports/ and target/cucumber-report/ as build artifacts (always, pass or fail)</w:t>
      </w:r>
    </w:p>
    <w:p>
      <w:pPr>
        <w:pStyle w:val="Heading2"/>
      </w:pPr>
      <w:r>
        <w:rPr>
          <w:color w:val="1F4E5F"/>
        </w:rPr>
        <w:t>Job: e2e-tests</w:t>
      </w:r>
    </w:p>
    <w:p>
      <w:pPr>
        <w:pStyle w:val="ListBullet"/>
        <w:spacing w:after="60"/>
      </w:pPr>
      <w:r>
        <w:t>Sets up JDK 17 too — Playwright's webServer boots the real app via mvnw spring-boot:run on the e2e profile</w:t>
      </w:r>
    </w:p>
    <w:p>
      <w:pPr>
        <w:pStyle w:val="ListBullet"/>
        <w:spacing w:after="60"/>
      </w:pPr>
      <w:r>
        <w:t>Sets up Node 20, npm-caches e2e/package-lock.json</w:t>
      </w:r>
    </w:p>
    <w:p>
      <w:pPr>
        <w:pStyle w:val="ListBullet"/>
        <w:spacing w:after="60"/>
      </w:pPr>
      <w:r>
        <w:t>npm ci, then npx playwright install --with-deps chromium</w:t>
      </w:r>
    </w:p>
    <w:p>
      <w:pPr>
        <w:pStyle w:val="ListBullet"/>
        <w:spacing w:after="60"/>
      </w:pPr>
      <w:r>
        <w:t>npm test</w:t>
      </w:r>
    </w:p>
    <w:p>
      <w:pPr>
        <w:pStyle w:val="ListBullet"/>
        <w:spacing w:after="60"/>
      </w:pPr>
      <w:r>
        <w:t>Uploads e2e/playwright-report/ as a build artifact (always)</w:t>
      </w:r>
    </w:p>
    <w:p>
      <w:pPr>
        <w:spacing w:after="200"/>
      </w:pPr>
      <w:r>
        <w:t>Both jobs run independently and in parallel on GitHub's runners — a failure in one doesn't block the other from reporting its own result.</w:t>
      </w:r>
    </w:p>
    <w:p>
      <w:r>
        <w:br w:type="page"/>
      </w:r>
    </w:p>
    <w:p>
      <w:pPr>
        <w:pStyle w:val="Heading1"/>
      </w:pPr>
      <w:r>
        <w:rPr>
          <w:color w:val="1F4E5F"/>
        </w:rPr>
        <w:t>Part 7 — Findings Uncovered While Writing These Tests</w:t>
      </w:r>
    </w:p>
    <w:p>
      <w:pPr>
        <w:spacing w:after="200"/>
      </w:pPr>
      <w:r>
        <w:t>Writing thorough tests surfaced real application behavior worth knowing about — some are genuine defects, some are just discrepancies between documentation/intent and actual behavior. None of these were "fixed" as part of this test-writing effort; they're flagged here so they're visible rather than silently papered over by adjusting test expectations to match.</w:t>
      </w:r>
    </w:p>
    <w:p>
      <w:pPr>
        <w:spacing w:before="120"/>
      </w:pPr>
      <w:r>
        <w:rPr>
          <w:b/>
          <w:color w:val="B03A2E"/>
        </w:rPr>
        <w:t>⚠ UI-1a: empty-form submit shows a generic "Bad Request" banner, not field-level validation</w:t>
      </w:r>
    </w:p>
    <w:p>
      <w:pPr>
        <w:spacing w:after="160"/>
      </w:pPr>
      <w:r>
        <w:t>Confirmed directly against the running API (not just the browser). The category/coreValue &lt;select&gt; elements default to value="", and the client sends that empty string as-is. Jackson fails to deserialize "" into the AwardCategory/CoreValue enum before @Valid ever runs, throwing HttpMessageNotReadableException — an exception GlobalExceptionHandler does not catch. It falls through to Spring Boot's default error page: {"error":"Bad Request",...}, with no per-field messages at all. The submit page's own "Validation" help text promises "Anything missed is flagged against the field when you submit" — that promise is broken for the single most basic case: a fully empty submit. Pinned as a regression test (UI-1a) rather than worked around.</w:t>
      </w:r>
    </w:p>
    <w:p>
      <w:pPr>
        <w:spacing w:before="120"/>
      </w:pPr>
      <w:r>
        <w:rPr>
          <w:b/>
          <w:color w:val="B03A2E"/>
        </w:rPr>
        <w:t>⚠ Revision/resubmission mode only pre-fills originalNominationId</w:t>
      </w:r>
    </w:p>
    <w:p>
      <w:pPr>
        <w:spacing w:after="160"/>
      </w:pPr>
      <w:r>
        <w:t>Discovered while automating E2E-2 (Jamie revises a sent-back nomination). Despite the "Revising your Q_ nomination... your previous entry for X" framing in the UI, nomineeName / nomineeEmail / practice / location / category / coreValue all start blank in revision mode — only whatText/howText plus the hidden originalNominationId are pre-populated. A nominator resubmitting has to re-enter the whole form, not just fix the flagged content.</w:t>
      </w:r>
    </w:p>
    <w:p>
      <w:pPr>
        <w:spacing w:before="120"/>
      </w:pPr>
      <w:r>
        <w:rPr>
          <w:b/>
          <w:color w:val="B03A2E"/>
        </w:rPr>
        <w:t>⚠ BB-4b: whitespace-padded email is rejected by @Email before the quarter-limit's trim-tolerance is ever reached</w:t>
      </w:r>
    </w:p>
    <w:p>
      <w:pPr>
        <w:spacing w:after="160"/>
      </w:pPr>
      <w:r>
        <w:t>NominationService.equalsIgnoreCase() trims both sides when comparing emails for the one-per-quarter check — confirmed directly at the unit level (NominationServiceTest). But NominationRequest's @Email constraint on nominatorEmail rejects a value with leading/trailing whitespace at the controller boundary first. Black-box, a padded email never gets far enough to exercise that trimming at all — the two layers disagree about whether padded input is valid, and only the inner one is forgiving. Split into BB-4 (case-only, passes) and BB-4b (documents the whitespace gap).</w:t>
      </w:r>
    </w:p>
    <w:p>
      <w:pPr>
        <w:spacing w:before="120"/>
      </w:pPr>
      <w:r>
        <w:rPr>
          <w:b/>
          <w:color w:val="B03A2E"/>
        </w:rPr>
        <w:t>⚠ CompletenessCriterion: insertion order diverges from enum declaration order</w:t>
      </w:r>
    </w:p>
    <w:p>
      <w:pPr>
        <w:spacing w:after="160"/>
      </w:pPr>
      <w:r>
        <w:t>CompletenessService.assess() inserts VALUE_SELECTED before HOW_EVIDENCES_VALUE into its LinkedHashMap, but the CompletenessCriterion enum itself declares HOW_EVIDENCES_VALUE first. failing() follows the map's insertion order (assess()'s code order), not the enum's declared order — they differ at exactly this one pair. Harmless today (nothing currently depends on the exact order), but pinned as an explicit test so either an assess() reorder or an enum reorder shows up as a visible change rather than silent drift.</w:t>
      </w:r>
    </w:p>
    <w:p>
      <w:pPr>
        <w:spacing w:before="120"/>
      </w:pPr>
      <w:r>
        <w:rPr>
          <w:b/>
          <w:color w:val="B03A2E"/>
        </w:rPr>
        <w:t>⚠ E2E-7 reframed: SKIPPED_NO_API_KEY is narrower than it first appears</w:t>
      </w:r>
    </w:p>
    <w:p>
      <w:pPr>
        <w:spacing w:after="160"/>
      </w:pPr>
      <w:r>
        <w:t>EvaluatorSelector.isAvailable() delegates to whichever evaluator is currently active. In auto mode (the default), it silently falls back to the mock evaluator when no Groq key is present — and the mock is always-available by design, so isAvailable() returns true and the nomination gets a real (mock) score. The "AI review unavailable" / SKIPPED_NO_API_KEY state is only reachable with ai.evaluator=groq explicitly forced AND no key — a narrower, separately-configured scenario than "just don't set a key," which is what the original scenario catalog entry implied. E2E-7 was rewritten to assert what's actually true under the default (auto) configuration: evaluation always completes and never blocks a submission.</w:t>
      </w:r>
    </w:p>
    <w:p>
      <w:pPr>
        <w:spacing w:before="120"/>
      </w:pPr>
      <w:r>
        <w:rPr>
          <w:b/>
          <w:color w:val="B03A2E"/>
        </w:rPr>
        <w:t>⚠ mvnw had lost its executable bit</w:t>
      </w:r>
    </w:p>
    <w:p>
      <w:pPr>
        <w:spacing w:after="160"/>
      </w:pPr>
      <w:r>
        <w:t>-rw-r--r-- instead of -rwxr-xr-x — the very first ./mvnw test invocation this session failed with "permission denied" before any test ran at all. Fixed with chmod +x mvnw; worth checking after any fresh clone or archive extraction if the same error appears.</w:t>
      </w:r>
    </w:p>
    <w:p>
      <w:pPr>
        <w:spacing w:before="120"/>
      </w:pPr>
      <w:r>
        <w:rPr>
          <w:b/>
          <w:color w:val="B03A2E"/>
        </w:rPr>
        <w:t>⚠ T-39 / BB-20: two simultaneous approve calls both succeed - no guard against a real race</w:t>
      </w:r>
    </w:p>
    <w:p>
      <w:pPr>
        <w:spacing w:after="160"/>
      </w:pPr>
      <w:r>
        <w:t>NominationService.approve() reads the nomination, checks its PENDING_REVIEW status, then writes - with no @Version/optimistic lock and no row-level lock. BB-6 only proves the SEQUENTIAL double-approve case is guarded (the second call gets 409); it never exercised a genuine race. Under an actual concurrent race - two threads calling approve() on the same id through a real ExecutorService against a live HTTP server, not simulated - both calls currently return 200 OK, both to the same nomination. Pinned as a regression test (BB-20) rather than silently asserting the safe behavior the app doesn't yet have.</w:t>
      </w:r>
    </w:p>
    <w:p>
      <w:pPr>
        <w:spacing w:before="120"/>
      </w:pPr>
      <w:r>
        <w:rPr>
          <w:b/>
          <w:color w:val="B03A2E"/>
        </w:rPr>
        <w:t>⚠ T-41: a mid-form reload silently discards everything typed, with no draft and no warning</w:t>
      </w:r>
    </w:p>
    <w:p>
      <w:pPr>
        <w:spacing w:after="160"/>
      </w:pPr>
      <w:r>
        <w:t>localStorage is used elsewhere in the app - persona choice, theme, greyscale, and which quarter's deadline banner has been dismissed - but never for the submission form's own field values. The app's only "Save draft" buttons (on the Praises Wall / Reports placeholder screens) are hard-disabled stubs, not a working feature anywhere. A reload mid-fill therefore looks identical to a fresh, empty visit - there is no way for a user to tell "I never started" apart from "I lost my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