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800VDC 電弧閃絡風險研究補充報告</w:t>
      </w:r>
    </w:p>
    <w:p>
      <w:pPr>
        <w:spacing w:after="360"/>
      </w:pPr>
      <w:r>
        <w:rPr>
          <w:i/>
          <w:iCs/>
          <w:color w:val="666666"/>
          <w:sz w:val="20"/>
          <w:szCs w:val="20"/>
        </w:rPr>
        <w:t xml:space="preserve">根據 Schneider Electric White Paper 219 深度解析｜2026 年 9 月</w:t>
      </w:r>
    </w:p>
    <w:p>
      <w:pPr>
        <w:pStyle w:val="Heading1"/>
        <w:spacing w:after="200" w:before="360"/>
      </w:pPr>
      <w:r>
        <w:t xml:space="preserve">摘要</w:t>
      </w:r>
    </w:p>
    <w:p>
      <w:pPr>
        <w:spacing w:after="200"/>
        <w:jc w:val="both"/>
      </w:pPr>
      <w:r>
        <w:t xml:space="preserve">本報告為《AI 資料中心 800V 高壓直流(HVDC)供電架構研究報告》第五節「優缺點與挑戰」中電弧閃絡安全性議題的補充深化，直接解析 Schneider Electric 於 2026 年 7 月發布的 White Paper 219《DC Arc Flash Analysis: A Practical Study on 800 VDC AI Data Centers》原始研究內容。該研究透過兩組具體案例（機櫃層級側掛式架構、集中式設施層級架構）的模擬分析發現：800VDC 系統的電弧閃絡入射能量普遍低於業界安全門檻 1.2 cal/cm²，風險並非源自「直流電壓本身」，而是高度取決於系統架構設計——尤其是電容配置位置與是否具備逆向電流阻斷功能。此結果為 800VDC 在安全性面向的可行性提供了具體的量化依據，但研究同時強調現有分析方法仍需針對轉換器驅動系統的暫態特性調整，且需要更廣泛的產業標準化與實驗室驗證工作。</w:t>
      </w:r>
    </w:p>
    <w:p>
      <w:pPr>
        <w:pStyle w:val="Heading1"/>
        <w:spacing w:after="200" w:before="360"/>
      </w:pPr>
      <w:r>
        <w:t xml:space="preserve">研究背景與方法</w:t>
      </w:r>
    </w:p>
    <w:p>
      <w:pPr>
        <w:spacing w:after="200"/>
        <w:jc w:val="both"/>
      </w:pPr>
      <w:r>
        <w:t xml:space="preserve">本補充報告的資料來源為原始一手文件：Schneider Electric Data Center Research &amp; Strategy 團隊發布的 White Paper 219（版本 1，2026 年 7 月 31 日），作者包括電力系統架構師 Tony Landry、系統工程師 Stuart Sheehan、資深研究分析師 Wendy Torell 與研究分析師 Dr. Maria A. Torres Arango，並由 NVIDIA 電氣設計首席工程師 Mike Tu 參與外部技術審查。此文件屬於原廠一手研究資料，可信度高於先前報告中透過二手媒體報導取得的資訊。分析方法上，原文採用 MATLAB/Simulink 進行時域暫態電路模擬，並以 ETAP 電力系統分析軟體進行高精度驗證，同時對照 NFPA 70E 標準中的既有簡化算法（Annex D 最大功率法、Annex R 電容放電法），藉此評估既有交流系統適用的分析方法在轉換器驅動的 800VDC 架構下是否仍然可靠。</w:t>
      </w:r>
    </w:p>
    <w:p>
      <w:pPr>
        <w:pStyle w:val="Heading1"/>
        <w:spacing w:after="200" w:before="360"/>
      </w:pPr>
      <w:r>
        <w:t xml:space="preserve">主要發現</w:t>
      </w:r>
    </w:p>
    <w:p>
      <w:pPr>
        <w:pStyle w:val="Heading2"/>
        <w:spacing w:after="160" w:before="300"/>
      </w:pPr>
      <w:r>
        <w:t xml:space="preserve">一、問題背景：為何既有方法不能直接套用</w:t>
      </w:r>
    </w:p>
    <w:p>
      <w:pPr>
        <w:spacing w:after="200"/>
        <w:jc w:val="both"/>
      </w:pPr>
      <w:r>
        <w:t xml:space="preserve">現行電弧閃絡評估標準（NFPA 70E、IEEE 1584）主要是針對交流系統與電池型直流系統設計，這類系統的故障電流由電源阻抗主導，會平順上升並收斂到一個可預測的穩態值。但 800VDC 資料中心採用「轉換器驅動」的電源架構，行為特性完全不同：其一，電力電子轉換器會依控制邏輯主動限流、直通或跳脫，故障電流無法單純由電源阻抗推算；其二，直接連接到配電匯流排的電容儲能，會在故障發生的最初幾毫秒內釋放高幅值的瞬間電流脈衝，這股暫態能量可能占總入射能量的相當比例，而傳統評估方法容易忽略這部分；其三，交流轉直流的轉換發生在機櫃、機列或設施層級，會直接影響故障電流路徑與保護裝置的反應速度，因此看似同樣是「800VDC」，不同架構配置下的實際風險可能差異很大。</w:t>
      </w:r>
    </w:p>
    <w:p>
      <w:pPr>
        <w:pStyle w:val="Heading2"/>
        <w:spacing w:after="160" w:before="300"/>
      </w:pPr>
      <w:r>
        <w:t xml:space="preserve">二、案例一：機櫃層級側掛式(Sidecar)架構</w:t>
      </w:r>
    </w:p>
    <w:p>
      <w:pPr>
        <w:spacing w:after="200"/>
        <w:jc w:val="both"/>
      </w:pPr>
      <w:r>
        <w:t xml:space="preserve">此案例分析一組 660kW 側掛式直流機櫃，供電予相鄰的 IT 機櫃，兩者以四取三(4-to-make-3)的分散式備援方式配置。研究團隊以 MATLAB/Simulink 模擬故障電流波形，結果顯示故障電流峰值約達 36kA，發生於故障後約 90 微秒，並在半毫秒內迅速衰減；同時模擬也證實，IT 機櫃內部電源供應器的輸入電容才是故障電流的主要來源，側掛機櫃本身的貢獻可忽略不計——因為其內部的功因校正(PFC)與 LLC 轉換級能在奈秒至微秒等級內就將直流匯流排與上游能量隔離。</w:t>
      </w:r>
    </w:p>
    <w:p>
      <w:pPr>
        <w:spacing w:after="200"/>
        <w:jc w:val="both"/>
      </w:pPr>
      <w:r>
        <w:t xml:space="preserve">以下彙整此案例採用兩種評估方法所得的入射能量結果：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shd w:fill="1F3864" w:val="clear"/>
            <w:vAlign w:val="center"/>
          </w:tcPr>
          <w:p>
            <w:r>
              <w:rPr>
                <w:b/>
                <w:bCs/>
                <w:color w:val="FFFFFF"/>
                <w:sz w:val="20"/>
                <w:szCs w:val="20"/>
              </w:rPr>
              <w:t xml:space="preserve">評估方法</w:t>
            </w:r>
          </w:p>
        </w:tc>
        <w:tc>
          <w:tcPr>
            <w:tcW w:type="dxa" w:w="2340"/>
            <w:shd w:fill="1F3864" w:val="clear"/>
            <w:vAlign w:val="center"/>
          </w:tcPr>
          <w:p>
            <w:r>
              <w:rPr>
                <w:b/>
                <w:bCs/>
                <w:color w:val="FFFFFF"/>
                <w:sz w:val="20"/>
                <w:szCs w:val="20"/>
              </w:rPr>
              <w:t xml:space="preserve">入射能量</w:t>
            </w:r>
          </w:p>
        </w:tc>
        <w:tc>
          <w:tcPr>
            <w:tcW w:type="dxa" w:w="2340"/>
            <w:shd w:fill="1F3864" w:val="clear"/>
            <w:vAlign w:val="center"/>
          </w:tcPr>
          <w:p>
            <w:r>
              <w:rPr>
                <w:b/>
                <w:bCs/>
                <w:color w:val="FFFFFF"/>
                <w:sz w:val="20"/>
                <w:szCs w:val="20"/>
              </w:rPr>
              <w:t xml:space="preserve">與 1.2 cal/cm² 門檻相比</w:t>
            </w:r>
          </w:p>
        </w:tc>
      </w:tr>
      <w:tr>
        <w:tc>
          <w:tcPr>
            <w:tcW w:type="dxa" w:w="4680"/>
            <w:vAlign w:val="center"/>
          </w:tcPr>
          <w:p>
            <w:r>
              <w:rPr>
                <w:b w:val="false"/>
                <w:bCs w:val="false"/>
                <w:sz w:val="20"/>
                <w:szCs w:val="20"/>
              </w:rPr>
              <w:t xml:space="preserve">NFPA 70E Annex R（保守估算法）</w:t>
            </w:r>
          </w:p>
        </w:tc>
        <w:tc>
          <w:tcPr>
            <w:tcW w:type="dxa" w:w="2340"/>
            <w:vAlign w:val="center"/>
          </w:tcPr>
          <w:p>
            <w:r>
              <w:rPr>
                <w:b w:val="false"/>
                <w:bCs w:val="false"/>
                <w:sz w:val="20"/>
                <w:szCs w:val="20"/>
              </w:rPr>
              <w:t xml:space="preserve">0.05 cal/cm²</w:t>
            </w:r>
          </w:p>
        </w:tc>
        <w:tc>
          <w:tcPr>
            <w:tcW w:type="dxa" w:w="2340"/>
            <w:vAlign w:val="center"/>
          </w:tcPr>
          <w:p>
            <w:r>
              <w:rPr>
                <w:b w:val="false"/>
                <w:bCs w:val="false"/>
                <w:sz w:val="20"/>
                <w:szCs w:val="20"/>
              </w:rPr>
              <w:t xml:space="preserve">低約 96%</w:t>
            </w:r>
          </w:p>
        </w:tc>
      </w:tr>
      <w:tr>
        <w:tc>
          <w:tcPr>
            <w:tcW w:type="dxa" w:w="4680"/>
            <w:vAlign w:val="center"/>
          </w:tcPr>
          <w:p>
            <w:r>
              <w:rPr>
                <w:b w:val="false"/>
                <w:bCs w:val="false"/>
                <w:sz w:val="20"/>
                <w:szCs w:val="20"/>
              </w:rPr>
              <w:t xml:space="preserve">ETAP（高精度暫態模擬）</w:t>
            </w:r>
          </w:p>
        </w:tc>
        <w:tc>
          <w:tcPr>
            <w:tcW w:type="dxa" w:w="2340"/>
            <w:vAlign w:val="center"/>
          </w:tcPr>
          <w:p>
            <w:r>
              <w:rPr>
                <w:b w:val="false"/>
                <w:bCs w:val="false"/>
                <w:sz w:val="20"/>
                <w:szCs w:val="20"/>
              </w:rPr>
              <w:t xml:space="preserve">0.01 cal/cm²</w:t>
            </w:r>
          </w:p>
        </w:tc>
        <w:tc>
          <w:tcPr>
            <w:tcW w:type="dxa" w:w="2340"/>
            <w:vAlign w:val="center"/>
          </w:tcPr>
          <w:p>
            <w:r>
              <w:rPr>
                <w:b w:val="false"/>
                <w:bCs w:val="false"/>
                <w:sz w:val="20"/>
                <w:szCs w:val="20"/>
              </w:rPr>
              <w:t xml:space="preserve">低約 99%</w:t>
            </w:r>
          </w:p>
        </w:tc>
      </w:tr>
    </w:tbl>
    <w:p>
      <w:pPr>
        <w:spacing w:after="200"/>
      </w:pPr>
    </w:p>
    <w:p>
      <w:pPr>
        <w:spacing w:after="200"/>
        <w:jc w:val="both"/>
      </w:pPr>
      <w:r>
        <w:t xml:space="preserve">值得注意的是，此結果是在「未加裝任何保護裝置」的最保守假設下計算，實際入射能量仍遠低於安全門檻，顯示此架構在電弧閃絡風險上具備相當高的天生安全餘裕，主因在於側掛機櫃與 IT 機櫃採 1 比 1 對應連接，限制了單一故障點能匯聚到的電容能量總量。</w:t>
      </w:r>
    </w:p>
    <w:p>
      <w:pPr>
        <w:pStyle w:val="Heading2"/>
        <w:spacing w:after="160" w:before="300"/>
      </w:pPr>
      <w:r>
        <w:t xml:space="preserve">三、案例二：集中式(Facility-level)架構</w:t>
      </w:r>
    </w:p>
    <w:p>
      <w:pPr>
        <w:spacing w:after="200"/>
        <w:jc w:val="both"/>
      </w:pPr>
      <w:r>
        <w:t xml:space="preserve">此案例分析一套 4.8MW 電力系統中的其中一路電力，由 24 個 600kW IT 機櫃以四取三配置構成，電力來源為中壓交流轉低壓直流轉換器與直流電池儲能系統(BESS)，並透過 LVDC 配電盤與匯流排向下分配到各機櫃。相較於機櫃層級架構，集中式架構的電氣路徑更長、匯聚的儲能總量更高，故障情境也更複雜。研究團隊分析了配電盤與 IT 機櫃兩個代表性故障點，並特別驗證了「逆向電流阻斷裝置」的效果——若無此裝置，下游機櫃的電容能量會反向回饋放大配電盤層級的故障電流；加裝後，故障電流可被有效侷限在最靠近故障點的區域內。</w:t>
      </w:r>
    </w:p>
    <w:p>
      <w:pPr>
        <w:spacing w:after="200"/>
        <w:jc w:val="both"/>
      </w:pPr>
      <w:r>
        <w:t xml:space="preserve">下表彙整不同保護裝置清除時間下的入射能量比較（皆為加裝逆向阻斷裝置、封閉機櫃條件下的結果）：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shd w:fill="1F3864" w:val="clear"/>
            <w:vAlign w:val="center"/>
          </w:tcPr>
          <w:p>
            <w:r>
              <w:rPr>
                <w:b/>
                <w:bCs/>
                <w:color w:val="FFFFFF"/>
                <w:sz w:val="20"/>
                <w:szCs w:val="20"/>
              </w:rPr>
              <w:t xml:space="preserve">故障位置 / 清除時間</w:t>
            </w:r>
          </w:p>
        </w:tc>
        <w:tc>
          <w:tcPr>
            <w:tcW w:type="dxa" w:w="2080"/>
            <w:shd w:fill="1F3864" w:val="clear"/>
            <w:vAlign w:val="center"/>
          </w:tcPr>
          <w:p>
            <w:r>
              <w:rPr>
                <w:b/>
                <w:bCs/>
                <w:color w:val="FFFFFF"/>
                <w:sz w:val="20"/>
                <w:szCs w:val="20"/>
              </w:rPr>
              <w:t xml:space="preserve">3ms（快速斷路器 MCCB）</w:t>
            </w:r>
          </w:p>
        </w:tc>
        <w:tc>
          <w:tcPr>
            <w:tcW w:type="dxa" w:w="2080"/>
            <w:shd w:fill="1F3864" w:val="clear"/>
            <w:vAlign w:val="center"/>
          </w:tcPr>
          <w:p>
            <w:r>
              <w:rPr>
                <w:b/>
                <w:bCs/>
                <w:color w:val="FFFFFF"/>
                <w:sz w:val="20"/>
                <w:szCs w:val="20"/>
              </w:rPr>
              <w:t xml:space="preserve">30ms（空氣斷路器 ACB）</w:t>
            </w:r>
          </w:p>
        </w:tc>
        <w:tc>
          <w:tcPr>
            <w:tcW w:type="dxa" w:w="2080"/>
            <w:shd w:fill="1F3864" w:val="clear"/>
            <w:vAlign w:val="center"/>
          </w:tcPr>
          <w:p>
            <w:r>
              <w:rPr>
                <w:b/>
                <w:bCs/>
                <w:color w:val="FFFFFF"/>
                <w:sz w:val="20"/>
                <w:szCs w:val="20"/>
              </w:rPr>
              <w:t xml:space="preserve">100ms（無保護裝置介入）</w:t>
            </w:r>
          </w:p>
        </w:tc>
      </w:tr>
      <w:tr>
        <w:tc>
          <w:tcPr>
            <w:tcW w:type="dxa" w:w="3120"/>
            <w:vAlign w:val="center"/>
          </w:tcPr>
          <w:p>
            <w:r>
              <w:rPr>
                <w:b w:val="false"/>
                <w:bCs w:val="false"/>
                <w:sz w:val="20"/>
                <w:szCs w:val="20"/>
              </w:rPr>
              <w:t xml:space="preserve">LVDC 配電盤（ETAP）</w:t>
            </w:r>
          </w:p>
        </w:tc>
        <w:tc>
          <w:tcPr>
            <w:tcW w:type="dxa" w:w="2080"/>
            <w:vAlign w:val="center"/>
          </w:tcPr>
          <w:p>
            <w:r>
              <w:rPr>
                <w:b w:val="false"/>
                <w:bCs w:val="false"/>
                <w:sz w:val="20"/>
                <w:szCs w:val="20"/>
              </w:rPr>
              <w:t xml:space="preserve">0.09 cal/cm²</w:t>
            </w:r>
          </w:p>
        </w:tc>
        <w:tc>
          <w:tcPr>
            <w:tcW w:type="dxa" w:w="2080"/>
            <w:vAlign w:val="center"/>
          </w:tcPr>
          <w:p>
            <w:r>
              <w:rPr>
                <w:b w:val="false"/>
                <w:bCs w:val="false"/>
                <w:sz w:val="20"/>
                <w:szCs w:val="20"/>
              </w:rPr>
              <w:t xml:space="preserve">0.50 cal/cm²</w:t>
            </w:r>
          </w:p>
        </w:tc>
        <w:tc>
          <w:tcPr>
            <w:tcW w:type="dxa" w:w="2080"/>
            <w:vAlign w:val="center"/>
          </w:tcPr>
          <w:p>
            <w:r>
              <w:rPr>
                <w:b w:val="false"/>
                <w:bCs w:val="false"/>
                <w:sz w:val="20"/>
                <w:szCs w:val="20"/>
              </w:rPr>
              <w:t xml:space="preserve">1.56 cal/cm²</w:t>
            </w:r>
          </w:p>
        </w:tc>
      </w:tr>
      <w:tr>
        <w:tc>
          <w:tcPr>
            <w:tcW w:type="dxa" w:w="3120"/>
            <w:vAlign w:val="center"/>
          </w:tcPr>
          <w:p>
            <w:r>
              <w:rPr>
                <w:b w:val="false"/>
                <w:bCs w:val="false"/>
                <w:sz w:val="20"/>
                <w:szCs w:val="20"/>
              </w:rPr>
              <w:t xml:space="preserve">IT 機櫃（ETAP）</w:t>
            </w:r>
          </w:p>
        </w:tc>
        <w:tc>
          <w:tcPr>
            <w:tcW w:type="dxa" w:w="2080"/>
            <w:vAlign w:val="center"/>
          </w:tcPr>
          <w:p>
            <w:r>
              <w:rPr>
                <w:b w:val="false"/>
                <w:bCs w:val="false"/>
                <w:sz w:val="20"/>
                <w:szCs w:val="20"/>
              </w:rPr>
              <w:t xml:space="preserve">0.10 cal/cm²</w:t>
            </w:r>
          </w:p>
        </w:tc>
        <w:tc>
          <w:tcPr>
            <w:tcW w:type="dxa" w:w="2080"/>
            <w:vAlign w:val="center"/>
          </w:tcPr>
          <w:p>
            <w:r>
              <w:rPr>
                <w:b w:val="false"/>
                <w:bCs w:val="false"/>
                <w:sz w:val="20"/>
                <w:szCs w:val="20"/>
              </w:rPr>
              <w:t xml:space="preserve">0.55 cal/cm²</w:t>
            </w:r>
          </w:p>
        </w:tc>
        <w:tc>
          <w:tcPr>
            <w:tcW w:type="dxa" w:w="2080"/>
            <w:vAlign w:val="center"/>
          </w:tcPr>
          <w:p>
            <w:r>
              <w:rPr>
                <w:b w:val="false"/>
                <w:bCs w:val="false"/>
                <w:sz w:val="20"/>
                <w:szCs w:val="20"/>
              </w:rPr>
              <w:t xml:space="preserve">1.73 cal/cm²</w:t>
            </w:r>
          </w:p>
        </w:tc>
      </w:tr>
    </w:tbl>
    <w:p>
      <w:pPr>
        <w:spacing w:after="200"/>
      </w:pPr>
    </w:p>
    <w:p>
      <w:pPr>
        <w:spacing w:after="200"/>
        <w:jc w:val="both"/>
      </w:pPr>
      <w:r>
        <w:t xml:space="preserve">結果顯示，只要搭配業界標準的保護裝置（多數在 1–30 毫秒內動作），入射能量便能控制在安全門檻以下；即使完全不啟動保護、任故障電流持續達 100 毫秒之久，數值也僅略高於門檻，尚屬可控範圍。這說明集中式架構雖然理論風險較高，但透過妥善的保護策略設計仍可達到與機櫃層級架構相近的安全水準。</w:t>
      </w:r>
    </w:p>
    <w:p>
      <w:pPr>
        <w:pStyle w:val="Heading2"/>
        <w:spacing w:after="160" w:before="300"/>
      </w:pPr>
      <w:r>
        <w:t xml:space="preserve">四、七項關鍵結論</w:t>
      </w:r>
    </w:p>
    <w:p>
      <w:pPr>
        <w:pStyle w:val="ListParagraph"/>
        <w:numPr>
          <w:ilvl w:val="0"/>
          <w:numId w:val="1"/>
        </w:numPr>
        <w:spacing w:after="100"/>
      </w:pPr>
      <w:r>
        <w:t xml:space="preserve">業界對 800VDC 電弧閃絡風險的評估實務與標準仍在成熟階段，既有方法主要針對交流系統設計，應用於轉換器驅動的直流架構時，須輔以工程判斷與補充分析。</w:t>
      </w:r>
    </w:p>
    <w:p>
      <w:pPr>
        <w:pStyle w:val="ListParagraph"/>
        <w:numPr>
          <w:ilvl w:val="0"/>
          <w:numId w:val="1"/>
        </w:numPr>
        <w:spacing w:after="100"/>
      </w:pPr>
      <w:r>
        <w:t xml:space="preserve">簡化評估法（如 Annex R）提供保守的基準估算，但並非完整寫實的呈現；在許多情況下會高估入射能量，隨著結果逼近安全門檻，採用更精確的分析方法就變得更有必要。</w:t>
      </w:r>
    </w:p>
    <w:p>
      <w:pPr>
        <w:pStyle w:val="ListParagraph"/>
        <w:numPr>
          <w:ilvl w:val="0"/>
          <w:numId w:val="1"/>
        </w:numPr>
        <w:spacing w:after="100"/>
      </w:pPr>
      <w:r>
        <w:t xml:space="preserve">800VDC 架構的電弧閃絡風險經常低於預期，但高度取決於架構設計；兩案例的入射能量皆低於 1.2 cal/cm² 門檻，在限制電容貢獻的設計下，風險甚至可能低於傳統交流配電系統。</w:t>
      </w:r>
    </w:p>
    <w:p>
      <w:pPr>
        <w:pStyle w:val="ListParagraph"/>
        <w:numPr>
          <w:ilvl w:val="0"/>
          <w:numId w:val="1"/>
        </w:numPr>
        <w:spacing w:after="100"/>
      </w:pPr>
      <w:r>
        <w:t xml:space="preserve">集中式架構的入射能量相對較高，但可透過設計與保護手段（尤其是轉換器的限流功能）將風險控制在可接受範圍。</w:t>
      </w:r>
    </w:p>
    <w:p>
      <w:pPr>
        <w:pStyle w:val="ListParagraph"/>
        <w:numPr>
          <w:ilvl w:val="0"/>
          <w:numId w:val="1"/>
        </w:numPr>
        <w:spacing w:after="100"/>
      </w:pPr>
      <w:r>
        <w:t xml:space="preserve">系統拓樸才是決定電弧閃絡暴露程度的關鍵，而非「直流」這個電力形式本身；轉換位置、儲能配置方式與電流路徑控制，共同決定了故障究竟是「電容主導型」還是「轉換器限流型」。</w:t>
      </w:r>
    </w:p>
    <w:p>
      <w:pPr>
        <w:pStyle w:val="ListParagraph"/>
        <w:numPr>
          <w:ilvl w:val="0"/>
          <w:numId w:val="1"/>
        </w:numPr>
        <w:spacing w:after="100"/>
      </w:pPr>
      <w:r>
        <w:t xml:space="preserve">電容放電在部分架構中會主導故障最初幾毫秒的能量釋放，這取決於電容是否直接耦接到配電匯流排，並非所有 800VDC 系統都會如此。</w:t>
      </w:r>
    </w:p>
    <w:p>
      <w:pPr>
        <w:pStyle w:val="ListParagraph"/>
        <w:numPr>
          <w:ilvl w:val="0"/>
          <w:numId w:val="1"/>
        </w:numPr>
        <w:spacing w:after="100"/>
      </w:pPr>
      <w:r>
        <w:t xml:space="preserve">此為初步分析，不能取代逐案的系統性評估；實務部署仍須針對多種故障情境與工作位置進行全面評估。</w:t>
      </w:r>
    </w:p>
    <w:p>
      <w:pPr>
        <w:pStyle w:val="Heading1"/>
        <w:spacing w:after="200" w:before="360"/>
      </w:pPr>
      <w:r>
        <w:t xml:space="preserve">分析與比較</w:t>
      </w:r>
    </w:p>
    <w:p>
      <w:pPr>
        <w:spacing w:after="200"/>
        <w:jc w:val="both"/>
      </w:pPr>
      <w:r>
        <w:t xml:space="preserve">將這份原始研究與先前報告中經二手媒體轉述的資訊對照，可以看出幾個更精確的補充視角。首先，先前報告提到「電弧閃絡風險可控，且在多數情境下與交流系統相當」，這份原始文件提供了具體量化證據：案例一在最保守假設下，入射能量仍低於門檻達 96% 至 99%，顯示風險餘裕遠比一般想像更大。其次，研究明確指出風險的關鍵變因並非電壓本身，而是「電容儲能是否直接耦接匯流排」與「是否具備逆向電流阻斷功能」這兩項架構設計選擇——這對正在規劃 800VDC 導入的組織而言，是比「安全與否」更具行動性的具體指引：意謂電弧閃絡風險可以透過架構設計主動管理，而非被動接受。</w:t>
      </w:r>
    </w:p>
    <w:p>
      <w:pPr>
        <w:spacing w:after="200"/>
        <w:jc w:val="both"/>
      </w:pPr>
      <w:r>
        <w:t xml:space="preserve">另一個重要發現是，論文明確承認現有 DC 電弧閃絡評估方法（如 Stokes &amp; Oppenlander 法、Paukert 法）尚未如交流系統的 IEEE 1584 般形成統一的計算框架，導致不同工程師採用時可能產生落差；同時也坦言目前缺乏 DC 電弧閃絡模型的實驗驗證數據，這正是 Schneider Electric 後續要發布的實驗室實測研究要補上的缺口。這印證了先前報告結論中「標準與安全框架仍待定案」的判斷是準確且仍然成立的——即便本篇研究本身已提供相當正面的風險量化結果，產業層級的標準化與認證機制仍是安全大規模部署的必要前提。</w:t>
      </w:r>
    </w:p>
    <w:p>
      <w:pPr>
        <w:pStyle w:val="Heading1"/>
        <w:spacing w:after="200" w:before="360"/>
      </w:pPr>
      <w:r>
        <w:t xml:space="preserve">結論與建議</w:t>
      </w:r>
    </w:p>
    <w:p>
      <w:pPr>
        <w:spacing w:after="200"/>
        <w:jc w:val="both"/>
      </w:pPr>
      <w:r>
        <w:t xml:space="preserve">整體而言，這份原始研究為 800VDC 資料中心的電弧閃絡安全性議題提供了迄今為止最具體、最系統化的量化依據，結論正面：只要架構設計得當，電弧閃絡風險可被控制在遠低於安全門檻的水準，並不構成阻礙 800VDC 大規模部署的根本障礙。基於原文提出的具體建議，對於正在評估或規劃導入 800VDC 架構的組織，建議採取以下行動：其一，在專案發起階段即納入安全工程師參與，而非等設備選型完成後才進行安全評估，因為電弧閃絡風險高度依賴架構決策，無法僅靠通用查表法解決；其二，將電容配置位置、逆向電流控制、保護裝置協調策略明確列為架構安全設計參數，而非單純的電氣工程細節；其三，在採購規格中要求供應商提供設備的故障行為數據（包括輸出電容值、限流回應特性、隔離時間），作為系統層級電弧閃絡分析的必要輸入；其四，採用分層分析策略，初期以簡化方法快速篩查，隨結果逼近安全門檻時再導入高精度模擬工具驗證；其五，準備清楚的技術文件與分析方法說明，以協助主管機關（AHJ）審查——多數主管機關目前對 800VDC 系統仍不熟悉，完整的技術溝通有助於避免專案延宕。最後，建議持續追蹤 Schneider Electric 後續發布的實驗室實測驗證研究，以及 OCP 等產業組織對轉換器限流功能標準化與認證機制的進展，這兩者將是 800VDC 電弧閃絡安全框架從「量化可行」邁向「產業標準化」的關鍵下一步。</w:t>
      </w:r>
    </w:p>
    <w:p>
      <w:pPr>
        <w:pStyle w:val="Heading1"/>
        <w:spacing w:after="200" w:before="360"/>
      </w:pPr>
      <w:r>
        <w:t xml:space="preserve">參考來源</w:t>
      </w:r>
    </w:p>
    <w:p>
      <w:pPr>
        <w:spacing w:after="80"/>
      </w:pPr>
      <w:r>
        <w:rPr>
          <w:sz w:val="20"/>
          <w:szCs w:val="20"/>
        </w:rPr>
        <w:t xml:space="preserve">DC Arc Flash Analysis: A Practical Study on 800 VDC AI Data Centers (White Paper 219, Schneider Electric, 2026年7月31日，一手原始文件) — </w:t>
      </w:r>
      <w:r>
        <w:rPr>
          <w:color w:val="1155CC"/>
          <w:sz w:val="20"/>
          <w:szCs w:val="20"/>
        </w:rPr>
        <w:t xml:space="preserve">https://www.se.com/us/en/download/document/SPD_WP219_EN/</w:t>
      </w:r>
    </w:p>
    <w:p>
      <w:pPr>
        <w:spacing w:after="80"/>
      </w:pPr>
      <w:r>
        <w:rPr>
          <w:sz w:val="20"/>
          <w:szCs w:val="20"/>
        </w:rPr>
        <w:t xml:space="preserve">5 Principles for 800 VDC in AI Data Centers: Rack-level Architectures as the Immediate Enabler (White Paper 213, Schneider Electric) — </w:t>
      </w:r>
      <w:r>
        <w:rPr>
          <w:color w:val="1155CC"/>
          <w:sz w:val="20"/>
          <w:szCs w:val="20"/>
        </w:rPr>
        <w:t xml:space="preserve">https://www.se.com/</w:t>
      </w:r>
    </w:p>
    <w:p>
      <w:pPr>
        <w:spacing w:after="80"/>
      </w:pPr>
      <w:r>
        <w:rPr>
          <w:sz w:val="20"/>
          <w:szCs w:val="20"/>
        </w:rPr>
        <w:t xml:space="preserve">Necessary Considerations for Designing DC Architectures in Data Centers (White Paper 47, Schneider Electric) — </w:t>
      </w:r>
      <w:r>
        <w:rPr>
          <w:color w:val="1155CC"/>
          <w:sz w:val="20"/>
          <w:szCs w:val="20"/>
        </w:rPr>
        <w:t xml:space="preserve">https://www.se.com/</w:t>
      </w:r>
    </w:p>
    <w:p>
      <w:pPr>
        <w:spacing w:after="80"/>
      </w:pPr>
      <w:r>
        <w:rPr>
          <w:sz w:val="20"/>
          <w:szCs w:val="20"/>
        </w:rPr>
        <w:t xml:space="preserve">Arc Flash Considerations for Data Center IT Space (White Paper 194, Schneider Electric) — </w:t>
      </w:r>
      <w:r>
        <w:rPr>
          <w:color w:val="1155CC"/>
          <w:sz w:val="20"/>
          <w:szCs w:val="20"/>
        </w:rPr>
        <w:t xml:space="preserve">https://www.se.com/</w:t>
      </w:r>
    </w:p>
    <w:p>
      <w:pPr>
        <w:spacing w:after="80"/>
      </w:pPr>
      <w:r>
        <w:rPr>
          <w:sz w:val="20"/>
          <w:szCs w:val="20"/>
        </w:rPr>
        <w:t xml:space="preserve">Data Center Facility – Low Voltage Direct Current Power Distribution (Open Compute Project, 2026年3月) — </w:t>
      </w:r>
      <w:r>
        <w:rPr>
          <w:color w:val="1155CC"/>
          <w:sz w:val="20"/>
          <w:szCs w:val="20"/>
        </w:rPr>
        <w:t xml:space="preserve">https://www.opencompute.org/</w:t>
      </w:r>
    </w:p>
    <w:p>
      <w:pPr>
        <w:spacing w:after="80"/>
      </w:pPr>
      <w:r>
        <w:rPr>
          <w:sz w:val="20"/>
          <w:szCs w:val="20"/>
        </w:rPr>
        <w:t xml:space="preserve">Schneider Electric releases pioneering study assessing arc flash risk in 800 VDC data centers — </w:t>
      </w:r>
      <w:r>
        <w:rPr>
          <w:color w:val="1155CC"/>
          <w:sz w:val="20"/>
          <w:szCs w:val="20"/>
        </w:rPr>
        <w:t xml:space="preserve">https://www.se.com/ww/en/about-us/newsroom/news/press-releases/Schneider-Electric-releases-pioneering-study-assessing-arc-flash-risk-in-800-VDC-data-centers-aligning-with-world27s-leading-hyperscalers-6a705327421430d7d4009133/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2026-09-03T13:40:09.576Z</dcterms:created>
  <dcterms:modified xsi:type="dcterms:W3CDTF">2026-09-03T13:40:09.588Z</dcterms:modified>
</cp:coreProperties>
</file>

<file path=docProps/custom.xml><?xml version="1.0" encoding="utf-8"?>
<Properties xmlns="http://schemas.openxmlformats.org/officeDocument/2006/custom-properties" xmlns:vt="http://schemas.openxmlformats.org/officeDocument/2006/docPropsVTypes"/>
</file>