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AI 資料中心 800V 高壓直流(HVDC)供電架構研究報告</w:t>
      </w:r>
    </w:p>
    <w:p>
      <w:pPr>
        <w:spacing w:after="360"/>
      </w:pPr>
      <w:r>
        <w:rPr>
          <w:i/>
          <w:iCs/>
          <w:color w:val="666666"/>
          <w:sz w:val="20"/>
          <w:szCs w:val="20"/>
        </w:rPr>
        <w:t xml:space="preserve">研究日期：2026 年 9 月</w:t>
      </w:r>
    </w:p>
    <w:p>
      <w:pPr>
        <w:pStyle w:val="Heading1"/>
        <w:spacing w:after="200" w:before="360"/>
      </w:pPr>
      <w:r>
        <w:t xml:space="preserve">摘要</w:t>
      </w:r>
    </w:p>
    <w:p>
      <w:pPr>
        <w:spacing w:after="200"/>
        <w:jc w:val="both"/>
      </w:pPr>
      <w:r>
        <w:t xml:space="preserve">隨著 AI 加速器功耗與機櫃密度快速攀升，傳統 48V/54V 直流配電架構已逼近其物理極限，NVIDIA、Google、Microsoft 等主要雲端與晶片廠商正共同推動 800V 高壓直流(800VDC)成為下一代 AI 資料中心的標準供電架構。此架構透過提高配電電壓大幅降低電流，可將銅材用量減少約 45%，端到端配電效率由約 83% 提升至 92% 以上。三大廠已於 2026 年 3 月透過開放運算計畫(OCP)發布聯合白皮書，並有超過 80 家設備與基礎設施廠商投入生態系建置，首批出貨預計於 2026 年下半年展開，搭配 NVIDIA Vera Rubin 平台。然而，電弧閃絡等直流特有的安全風險、連接器與標準尚未成熟等問題，意味著全面普及仍需數年時間，產業預估至 2030 年僅約 15–25% 的資料中心會採用 800VDC。</w:t>
      </w:r>
    </w:p>
    <w:p>
      <w:pPr>
        <w:pStyle w:val="Heading1"/>
        <w:spacing w:after="200" w:before="360"/>
      </w:pPr>
      <w:r>
        <w:t xml:space="preserve">研究背景與方法</w:t>
      </w:r>
    </w:p>
    <w:p>
      <w:pPr>
        <w:spacing w:after="200"/>
        <w:jc w:val="both"/>
      </w:pPr>
      <w:r>
        <w:t xml:space="preserve">本報告聚焦於 AI 資料中心採用 800V 高壓直流供電架構的技術背景、主要廠商動態、標準進展、與傳統架構之比較、優缺點挑戰，以及未來時程展望。研究方法以公開網路資料為主，優先採用廠商官方部落格與新聞稿（NVIDIA、Schneider Electric、Texas Instruments、Open Compute Project）、產業研究機構報導（TrendForce、DigiTimes、SemiAnalysis）與專業媒體（Data Center Dynamics、Network World）等原始或高可信度來源，並交叉比對多篇報導以確認關鍵數據與時程的一致性。由於此領域發展快速且部分細節（如最終標準規格、實際出貨量）截至研究時仍在演變，報告中對尚未定案之數據已明確標註其預測性質。</w:t>
      </w:r>
    </w:p>
    <w:p>
      <w:pPr>
        <w:pStyle w:val="Heading1"/>
        <w:spacing w:after="200" w:before="360"/>
      </w:pPr>
      <w:r>
        <w:t xml:space="preserve">主要發現</w:t>
      </w:r>
    </w:p>
    <w:p>
      <w:pPr>
        <w:pStyle w:val="Heading2"/>
        <w:spacing w:after="160" w:before="300"/>
      </w:pPr>
      <w:r>
        <w:t xml:space="preserve">一、技術背景與驅動因素</w:t>
      </w:r>
    </w:p>
    <w:p>
      <w:pPr>
        <w:spacing w:after="200"/>
        <w:jc w:val="both"/>
      </w:pPr>
      <w:r>
        <w:t xml:space="preserve">AI 加速器的功耗成長速度遠超傳統伺服器：機櫃功率密度已從通用運算的約 12kW，成長到 NVIDIA GB200 NVL72 機櫃的約 120kW，並朝向 2027 年 Kyber 平台單機櫃逾 1MW 邁進。在傳統 48V/54V 配電架構下，要在單一機櫃傳輸 600kW 電力，電流高達約 12,500A，需要重達 200 公斤的銅排(busbar)才能承載，若擴大到 1GW 規模的資料中心（約 1,000 個機櫃），累計銅材需求將達到約 50 萬噸，在成本與空間上均不可行。這正是產業轉向 800V 架構的根本驅動力：電壓提高到 800V 後，傳輸同樣功率所需電流降至約 750A，減少約 16.7 倍，大幅縮小導體與配電設備的尺寸與重量。</w:t>
      </w:r>
    </w:p>
    <w:p>
      <w:pPr>
        <w:spacing w:after="200"/>
        <w:jc w:val="both"/>
      </w:pPr>
      <w:r>
        <w:t xml:space="preserve">從配電路徑來看，800VDC 架構可將傳統交流配電需要的 4 段轉換（市電 → UPS → PDU → 機櫃內多級 DC-DC 轉換）簡化為 2 段轉換，端到端效率因此由約 83% 提升至 92% 以上。Texas Instruments 於 2026 年 GTC 展示的 NVIDIA 對齊架構顯示，從 800V 匯流排到 GPU 核心電壓僅需兩個主要轉換級：先由 800V 隔離式轉換為 6V，再由 6V 多相降壓轉換至低於 1V 的核心電壓。</w:t>
      </w:r>
    </w:p>
    <w:p>
      <w:pPr>
        <w:pStyle w:val="Heading2"/>
        <w:spacing w:after="160" w:before="300"/>
      </w:pPr>
      <w:r>
        <w:t xml:space="preserve">二、主要廠商與生態系動態</w:t>
      </w:r>
    </w:p>
    <w:p>
      <w:pPr>
        <w:spacing w:after="200"/>
        <w:jc w:val="both"/>
      </w:pPr>
      <w:r>
        <w:t xml:space="preserve">NVIDIA 於 2025 年 10 月宣布將於 2026 年推出完整的 800V 直流產品線，以支援其 Rubin Ultra 平台；Vera Rubin NVL144 機櫃將提供 800V 配電作為選配架構，預計 2026 年第三季開始出貨給客戶，屆時是作為既有資料中心的可選升級路徑，而非強制標準配置。NVIDIA 同時揭露了代號 Kyber 的下一代機櫃系統，將可容納 576 顆 Rubin Ultra GPU，機櫃功耗預估達約 660kW，若採氣冷則可能需要 1.2–1.3MW，該平台預計於 2027 年量產。</w:t>
      </w:r>
    </w:p>
    <w:p>
      <w:pPr>
        <w:spacing w:after="200"/>
        <w:jc w:val="both"/>
      </w:pPr>
      <w:r>
        <w:t xml:space="preserve">在生態系合作方面，NVIDIA 已與 Google、Microsoft 透過 OCP 平台共同開發業界首個 800VDC 開放架構，並獲得超過 80 家設備與基礎設施廠商支持，包括 Delta Electronics（台達電）、Schneider Electric、Texas Instruments、Navitas Semiconductor 等電源與半導體廠商積極投入相關產品開發。Google 的下一代 AI 資料中心也被列為最早採用此技術的業者之一，顯示 800VDC 已從單一廠商倡議演變為跨雲端服務商與晶片供應商的產業級合作。</w:t>
      </w:r>
    </w:p>
    <w:p>
      <w:pPr>
        <w:pStyle w:val="Heading2"/>
        <w:spacing w:after="160" w:before="300"/>
      </w:pPr>
      <w:r>
        <w:t xml:space="preserve">三、標準與產業聯盟進展</w:t>
      </w:r>
    </w:p>
    <w:p>
      <w:pPr>
        <w:spacing w:after="200"/>
        <w:jc w:val="both"/>
      </w:pPr>
      <w:r>
        <w:t xml:space="preserve">NVIDIA、Google、Microsoft 三方於 2026 年 3 月透過開放運算計畫(Open Compute Project, OCP)聯合發布 800VDC 架構白皮書，並於同年 7 月發布「LVDC 固態變壓器規格書 v0.3」(LVDC Solid-State Transformer Specification)，針對低壓直流配電的電力品質、電力平滑化、安全性，以及設施供電系統與高密度 AI 機櫃之間的介面規範進行對齊。目前已有超過 80 家設備與基礎設施廠商依循此規格開發產品。整體而言，OCP 正扮演將原本各家廠商各自為政的 800VDC 方案，收斂為開放、可互通產業標準的關鍵協調角色，但既有低壓直流配電標準多是從交流系統延伸而來，仍有相當工作量待補齊，才能確保跨廠商的互通性、安全一致性與長期可靠性。</w:t>
      </w:r>
    </w:p>
    <w:p>
      <w:pPr>
        <w:pStyle w:val="Heading2"/>
        <w:spacing w:after="160" w:before="300"/>
      </w:pPr>
      <w:r>
        <w:t xml:space="preserve">四、與傳統 48V/54V 架構之技術比較</w:t>
      </w:r>
    </w:p>
    <w:p>
      <w:pPr>
        <w:spacing w:after="200"/>
        <w:jc w:val="both"/>
      </w:pPr>
      <w:r>
        <w:t xml:space="preserve">800VDC 相較於傳統 48V/54V 架構的核心優勢集中在電流大幅降低所帶來的連鎖效益。下表彙整關鍵技術指標的比較：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val="clear"/>
            <w:vAlign w:val="center"/>
          </w:tcPr>
          <w:p>
            <w:r>
              <w:rPr>
                <w:b/>
                <w:bCs/>
                <w:color w:val="FFFFFF"/>
                <w:sz w:val="20"/>
                <w:szCs w:val="20"/>
              </w:rPr>
              <w:t xml:space="preserve">比較項目</w:t>
            </w:r>
          </w:p>
        </w:tc>
        <w:tc>
          <w:tcPr>
            <w:tcW w:type="dxa" w:w="3480"/>
            <w:shd w:fill="1F3864" w:val="clear"/>
            <w:vAlign w:val="center"/>
          </w:tcPr>
          <w:p>
            <w:r>
              <w:rPr>
                <w:b/>
                <w:bCs/>
                <w:color w:val="FFFFFF"/>
                <w:sz w:val="20"/>
                <w:szCs w:val="20"/>
              </w:rPr>
              <w:t xml:space="preserve">傳統 48V/54V 交流轉直流架構</w:t>
            </w:r>
          </w:p>
        </w:tc>
        <w:tc>
          <w:tcPr>
            <w:tcW w:type="dxa" w:w="3480"/>
            <w:shd w:fill="1F3864" w:val="clear"/>
            <w:vAlign w:val="center"/>
          </w:tcPr>
          <w:p>
            <w:r>
              <w:rPr>
                <w:b/>
                <w:bCs/>
                <w:color w:val="FFFFFF"/>
                <w:sz w:val="20"/>
                <w:szCs w:val="20"/>
              </w:rPr>
              <w:t xml:space="preserve">800VDC 架構</w:t>
            </w:r>
          </w:p>
        </w:tc>
      </w:tr>
      <w:tr>
        <w:tc>
          <w:tcPr>
            <w:tcW w:type="dxa" w:w="2400"/>
            <w:vAlign w:val="center"/>
          </w:tcPr>
          <w:p>
            <w:r>
              <w:rPr>
                <w:b w:val="false"/>
                <w:bCs w:val="false"/>
                <w:sz w:val="20"/>
                <w:szCs w:val="20"/>
              </w:rPr>
              <w:t xml:space="preserve">電力轉換階段</w:t>
            </w:r>
          </w:p>
        </w:tc>
        <w:tc>
          <w:tcPr>
            <w:tcW w:type="dxa" w:w="3480"/>
            <w:vAlign w:val="center"/>
          </w:tcPr>
          <w:p>
            <w:r>
              <w:rPr>
                <w:b w:val="false"/>
                <w:bCs w:val="false"/>
                <w:sz w:val="20"/>
                <w:szCs w:val="20"/>
              </w:rPr>
              <w:t xml:space="preserve">約 4 段轉換</w:t>
            </w:r>
          </w:p>
        </w:tc>
        <w:tc>
          <w:tcPr>
            <w:tcW w:type="dxa" w:w="3480"/>
            <w:vAlign w:val="center"/>
          </w:tcPr>
          <w:p>
            <w:r>
              <w:rPr>
                <w:b w:val="false"/>
                <w:bCs w:val="false"/>
                <w:sz w:val="20"/>
                <w:szCs w:val="20"/>
              </w:rPr>
              <w:t xml:space="preserve">約 2 段轉換</w:t>
            </w:r>
          </w:p>
        </w:tc>
      </w:tr>
      <w:tr>
        <w:tc>
          <w:tcPr>
            <w:tcW w:type="dxa" w:w="2400"/>
            <w:vAlign w:val="center"/>
          </w:tcPr>
          <w:p>
            <w:r>
              <w:rPr>
                <w:b w:val="false"/>
                <w:bCs w:val="false"/>
                <w:sz w:val="20"/>
                <w:szCs w:val="20"/>
              </w:rPr>
              <w:t xml:space="preserve">端到端配電效率</w:t>
            </w:r>
          </w:p>
        </w:tc>
        <w:tc>
          <w:tcPr>
            <w:tcW w:type="dxa" w:w="3480"/>
            <w:vAlign w:val="center"/>
          </w:tcPr>
          <w:p>
            <w:r>
              <w:rPr>
                <w:b w:val="false"/>
                <w:bCs w:val="false"/>
                <w:sz w:val="20"/>
                <w:szCs w:val="20"/>
              </w:rPr>
              <w:t xml:space="preserve">約 83%</w:t>
            </w:r>
          </w:p>
        </w:tc>
        <w:tc>
          <w:tcPr>
            <w:tcW w:type="dxa" w:w="3480"/>
            <w:vAlign w:val="center"/>
          </w:tcPr>
          <w:p>
            <w:r>
              <w:rPr>
                <w:b w:val="false"/>
                <w:bCs w:val="false"/>
                <w:sz w:val="20"/>
                <w:szCs w:val="20"/>
              </w:rPr>
              <w:t xml:space="preserve">92% 以上</w:t>
            </w:r>
          </w:p>
        </w:tc>
      </w:tr>
      <w:tr>
        <w:tc>
          <w:tcPr>
            <w:tcW w:type="dxa" w:w="2400"/>
            <w:vAlign w:val="center"/>
          </w:tcPr>
          <w:p>
            <w:r>
              <w:rPr>
                <w:b w:val="false"/>
                <w:bCs w:val="false"/>
                <w:sz w:val="20"/>
                <w:szCs w:val="20"/>
              </w:rPr>
              <w:t xml:space="preserve">600kW 機櫃電流</w:t>
            </w:r>
          </w:p>
        </w:tc>
        <w:tc>
          <w:tcPr>
            <w:tcW w:type="dxa" w:w="3480"/>
            <w:vAlign w:val="center"/>
          </w:tcPr>
          <w:p>
            <w:r>
              <w:rPr>
                <w:b w:val="false"/>
                <w:bCs w:val="false"/>
                <w:sz w:val="20"/>
                <w:szCs w:val="20"/>
              </w:rPr>
              <w:t xml:space="preserve">約 12,500A</w:t>
            </w:r>
          </w:p>
        </w:tc>
        <w:tc>
          <w:tcPr>
            <w:tcW w:type="dxa" w:w="3480"/>
            <w:vAlign w:val="center"/>
          </w:tcPr>
          <w:p>
            <w:r>
              <w:rPr>
                <w:b w:val="false"/>
                <w:bCs w:val="false"/>
                <w:sz w:val="20"/>
                <w:szCs w:val="20"/>
              </w:rPr>
              <w:t xml:space="preserve">約 750A（降低約 16.7 倍）</w:t>
            </w:r>
          </w:p>
        </w:tc>
      </w:tr>
      <w:tr>
        <w:tc>
          <w:tcPr>
            <w:tcW w:type="dxa" w:w="2400"/>
            <w:vAlign w:val="center"/>
          </w:tcPr>
          <w:p>
            <w:r>
              <w:rPr>
                <w:b w:val="false"/>
                <w:bCs w:val="false"/>
                <w:sz w:val="20"/>
                <w:szCs w:val="20"/>
              </w:rPr>
              <w:t xml:space="preserve">銅材用量</w:t>
            </w:r>
          </w:p>
        </w:tc>
        <w:tc>
          <w:tcPr>
            <w:tcW w:type="dxa" w:w="3480"/>
            <w:vAlign w:val="center"/>
          </w:tcPr>
          <w:p>
            <w:r>
              <w:rPr>
                <w:b w:val="false"/>
                <w:bCs w:val="false"/>
                <w:sz w:val="20"/>
                <w:szCs w:val="20"/>
              </w:rPr>
              <w:t xml:space="preserve">基準值（1MW 機櫃需約 200kg 銅排）</w:t>
            </w:r>
          </w:p>
        </w:tc>
        <w:tc>
          <w:tcPr>
            <w:tcW w:type="dxa" w:w="3480"/>
            <w:vAlign w:val="center"/>
          </w:tcPr>
          <w:p>
            <w:r>
              <w:rPr>
                <w:b w:val="false"/>
                <w:bCs w:val="false"/>
                <w:sz w:val="20"/>
                <w:szCs w:val="20"/>
              </w:rPr>
              <w:t xml:space="preserve">減少約 45%</w:t>
            </w:r>
          </w:p>
        </w:tc>
      </w:tr>
      <w:tr>
        <w:tc>
          <w:tcPr>
            <w:tcW w:type="dxa" w:w="2400"/>
            <w:vAlign w:val="center"/>
          </w:tcPr>
          <w:p>
            <w:r>
              <w:rPr>
                <w:b w:val="false"/>
                <w:bCs w:val="false"/>
                <w:sz w:val="20"/>
                <w:szCs w:val="20"/>
              </w:rPr>
              <w:t xml:space="preserve">800VDC 用 3/0 AWG 銅纜成本</w:t>
            </w:r>
          </w:p>
        </w:tc>
        <w:tc>
          <w:tcPr>
            <w:tcW w:type="dxa" w:w="3480"/>
            <w:vAlign w:val="center"/>
          </w:tcPr>
          <w:p>
            <w:r>
              <w:rPr>
                <w:b w:val="false"/>
                <w:bCs w:val="false"/>
                <w:sz w:val="20"/>
                <w:szCs w:val="20"/>
              </w:rPr>
              <w:t xml:space="preserve">400VDC 用 500MCM 銅纜約每呎 14 美元</w:t>
            </w:r>
          </w:p>
        </w:tc>
        <w:tc>
          <w:tcPr>
            <w:tcW w:type="dxa" w:w="3480"/>
            <w:vAlign w:val="center"/>
          </w:tcPr>
          <w:p>
            <w:r>
              <w:rPr>
                <w:b w:val="false"/>
                <w:bCs w:val="false"/>
                <w:sz w:val="20"/>
                <w:szCs w:val="20"/>
              </w:rPr>
              <w:t xml:space="preserve">800VDC 用 3/0 AWG 銅纜約每呎 5 美元（約降 3 倍）</w:t>
            </w:r>
          </w:p>
        </w:tc>
      </w:tr>
      <w:tr>
        <w:tc>
          <w:tcPr>
            <w:tcW w:type="dxa" w:w="2400"/>
            <w:vAlign w:val="center"/>
          </w:tcPr>
          <w:p>
            <w:r>
              <w:rPr>
                <w:b w:val="false"/>
                <w:bCs w:val="false"/>
                <w:sz w:val="20"/>
                <w:szCs w:val="20"/>
              </w:rPr>
              <w:t xml:space="preserve">總持有成本(TCO)</w:t>
            </w:r>
          </w:p>
        </w:tc>
        <w:tc>
          <w:tcPr>
            <w:tcW w:type="dxa" w:w="3480"/>
            <w:vAlign w:val="center"/>
          </w:tcPr>
          <w:p>
            <w:r>
              <w:rPr>
                <w:b w:val="false"/>
                <w:bCs w:val="false"/>
                <w:sz w:val="20"/>
                <w:szCs w:val="20"/>
              </w:rPr>
              <w:t xml:space="preserve">基準值</w:t>
            </w:r>
          </w:p>
        </w:tc>
        <w:tc>
          <w:tcPr>
            <w:tcW w:type="dxa" w:w="3480"/>
            <w:vAlign w:val="center"/>
          </w:tcPr>
          <w:p>
            <w:r>
              <w:rPr>
                <w:b w:val="false"/>
                <w:bCs w:val="false"/>
                <w:sz w:val="20"/>
                <w:szCs w:val="20"/>
              </w:rPr>
              <w:t xml:space="preserve">預估降低約 30%</w:t>
            </w:r>
          </w:p>
        </w:tc>
      </w:tr>
    </w:tbl>
    <w:p>
      <w:pPr>
        <w:spacing w:after="200"/>
      </w:pPr>
    </w:p>
    <w:p>
      <w:pPr>
        <w:spacing w:after="200"/>
        <w:jc w:val="both"/>
      </w:pPr>
      <w:r>
        <w:t xml:space="preserve">換言之，800VDC 並非單純的電壓規格調整，而是透過降低電流從根本上解決銅材、空間與散熱三大瓶頸，使機櫃得以在有限的物理空間內容納持續攀升的 AI 運算功耗。</w:t>
      </w:r>
    </w:p>
    <w:p>
      <w:pPr>
        <w:pStyle w:val="Heading2"/>
        <w:spacing w:after="160" w:before="300"/>
      </w:pPr>
      <w:r>
        <w:t xml:space="preserve">五、優缺點與挑戰</w:t>
      </w:r>
    </w:p>
    <w:p>
      <w:pPr>
        <w:spacing w:after="200"/>
        <w:jc w:val="both"/>
      </w:pPr>
      <w:r>
        <w:t xml:space="preserve">800VDC 架構的優勢明確，但也伴隨若干必須正視的實務挑戰：</w:t>
      </w:r>
    </w:p>
    <w:p>
      <w:pPr>
        <w:pStyle w:val="ListParagraph"/>
        <w:numPr>
          <w:ilvl w:val="0"/>
          <w:numId w:val="1"/>
        </w:numPr>
        <w:spacing w:after="100"/>
      </w:pPr>
      <w:r>
        <w:t xml:space="preserve">優點：大幅降低銅材與線材成本、縮小配電設備體積與重量、提升端到端效率並降低總持有成本、可支援機櫃功率密度持續攀升的長期路線圖。</w:t>
      </w:r>
    </w:p>
    <w:p>
      <w:pPr>
        <w:pStyle w:val="ListParagraph"/>
        <w:numPr>
          <w:ilvl w:val="0"/>
          <w:numId w:val="1"/>
        </w:numPr>
        <w:spacing w:after="100"/>
      </w:pPr>
      <w:r>
        <w:t xml:space="preserve">安全性挑戰——電弧閃絡(arc flash)：直流電弧不像交流電弧會隨電流過零點自然熄滅，因此持續性更高、風險特性與交流系統不同。Schneider Electric 於 2026 年 8 月發布首份系統性研究，指出電弧閃絡風險高度取決於架構設計、電容器配置與故障清除機制，透過妥善設計與數位分身模擬，風險可控制在與典型交流系統相當的水準。</w:t>
      </w:r>
    </w:p>
    <w:p>
      <w:pPr>
        <w:pStyle w:val="ListParagraph"/>
        <w:numPr>
          <w:ilvl w:val="0"/>
          <w:numId w:val="1"/>
        </w:numPr>
        <w:spacing w:after="100"/>
      </w:pPr>
      <w:r>
        <w:t xml:space="preserve">連接器與元件成熟度：業界正積極開發適用於資料中心運作環境的無電弧連接器、插座與可負載分斷的直流斷路裝置，相關產品仍在驗證與量產爬坡階段。</w:t>
      </w:r>
    </w:p>
    <w:p>
      <w:pPr>
        <w:pStyle w:val="ListParagraph"/>
        <w:numPr>
          <w:ilvl w:val="0"/>
          <w:numId w:val="1"/>
        </w:numPr>
        <w:spacing w:after="100"/>
      </w:pPr>
      <w:r>
        <w:t xml:space="preserve">標準與互通性缺口：既有低壓配電標準多源自交流系統，尚未針對 800VDC 的特性完整規範，跨廠商互通性、安全一致性與長期可靠性仍待產業共同補強。</w:t>
      </w:r>
    </w:p>
    <w:p>
      <w:pPr>
        <w:pStyle w:val="ListParagraph"/>
        <w:numPr>
          <w:ilvl w:val="0"/>
          <w:numId w:val="1"/>
        </w:numPr>
        <w:spacing w:after="100"/>
      </w:pPr>
      <w:r>
        <w:t xml:space="preserve">部署路徑落差：由於現有資料中心多依既有交流基礎設施建置，800VDC 初期多以「側掛式(side-car)」電力機櫃形式與既有設施並存，而非全面重建，這雖降低導入門檻，但也代表短期內架構會呈現交流與直流混合的過渡型態。</w:t>
      </w:r>
    </w:p>
    <w:p>
      <w:pPr>
        <w:pStyle w:val="Heading2"/>
        <w:spacing w:after="160" w:before="300"/>
      </w:pPr>
      <w:r>
        <w:t xml:space="preserve">六、未來展望與時程</w:t>
      </w:r>
    </w:p>
    <w:p>
      <w:pPr>
        <w:spacing w:after="200"/>
        <w:jc w:val="both"/>
      </w:pPr>
      <w:r>
        <w:t xml:space="preserve">根據目前公開的產業路線圖，800VDC 的導入大致可分為三個階段。第一階段（2026 年底至 2027 年初）以側掛式電力機櫃形式，將既有交流配電在機櫃層級改造為 800VDC 供電，此為目前最務實的過渡方案；第二階段預計於 2027 年展開固態變壓器(SST)的試點部署，供願意採用原生直流架構的早期採用者使用；第三階段則預期於 2028 年隨 SST 技術成熟而擴大採用，並在 2030 年代成為主流架構。具體時程上，NVIDIA Rubin Ultra GPU 預計於 2027 年量產，屆時側掛式電力機櫃將可直接為運算機櫃提供 800VDC 電力；高密度 800V 直流機櫃預期於 2027 年開始有一定出貨量。整體來看，產業估計到 2030 年時，僅約 15–25% 的資料中心會採用 800VDC 架構，但透過該架構新增的資料中心容量預估將達到約 39GW，顯示雖然滲透率有限，其在絕對規模上的影響力仍相當可觀，且多數早期部署仍以側掛式方案為主，固態變壓器試點則會同步平行推進。</w:t>
      </w:r>
    </w:p>
    <w:p>
      <w:pPr>
        <w:pStyle w:val="Heading1"/>
        <w:spacing w:after="200" w:before="360"/>
      </w:pPr>
      <w:r>
        <w:t xml:space="preserve">分析與比較</w:t>
      </w:r>
    </w:p>
    <w:p>
      <w:pPr>
        <w:spacing w:after="200"/>
        <w:jc w:val="both"/>
      </w:pPr>
      <w:r>
        <w:t xml:space="preserve">綜合前述研究，800VDC 架構的推動邏輯本質上是一場「電流工程」而非單純的「電壓升級」：透過提高配電電壓、降低電流，直接解決了 AI 機櫃功率密度指數成長下，銅材、空間與散熱三個實體限制同時逼近極限的困境。從主要廠商的動態可以看出，這並非單一晶片廠商的技術倡議，而是晶片商(NVIDIA)、雲端服務商(Google、Microsoft)與電源/半導體供應鏈(台達電、Schneider Electric、TI、Navitas 等 80 餘家廠商)三方同步押注的產業級轉型，並透過 OCP 開放標準機制降低生態系分裂的風險。</w:t>
      </w:r>
    </w:p>
    <w:p>
      <w:pPr>
        <w:spacing w:after="200"/>
        <w:jc w:val="both"/>
      </w:pPr>
      <w:r>
        <w:t xml:space="preserve">然而，比較各家時程可以發現一個現實：儘管技術效益（效率提升近 10 個百分點、銅材減少近半、TCO 降低約三成）相當顯著，實際大規模部署仍受限於直流特有的安全性議題（尤其是電弧閃絡）與標準、連接器等基礎設施成熟度，這也是為何產業普遍預期初期以側掛式機櫃的漸進式改造為主，而非一步到位的原生直流資料中心重建。這種「效益明確、但轉型審慎漸進」的態勢，與資料中心產業一貫的高可靠性要求相符。</w:t>
      </w:r>
    </w:p>
    <w:p>
      <w:pPr>
        <w:pStyle w:val="Heading1"/>
        <w:spacing w:after="200" w:before="360"/>
      </w:pPr>
      <w:r>
        <w:t xml:space="preserve">結論與建議</w:t>
      </w:r>
    </w:p>
    <w:p>
      <w:pPr>
        <w:spacing w:after="200"/>
        <w:jc w:val="both"/>
      </w:pPr>
      <w:r>
        <w:t xml:space="preserve">800V 高壓直流供電架構已從概念驗證階段邁入產業標準化與商業化部署的初期，並獲得晶片、雲端與電源供應鏈三方廠商的高度共識，預期將在 2026 年下半年至 2027 年隨 NVIDIA Vera Rubin／Rubin Ultra 平台的量產逐步落地。對於規劃新一代 AI 資料中心的機構而言，建議：其一，密切追蹤 OCP LVDC 規格與電弧閃絡安全框架的定案進度，避免提前投入尚未收斂的規格；其二，優先評估側掛式電力機櫃的漸進式改造路徑，以降低對既有交流基礎設施的衝擊；其三，將供應鏈成熟度（連接器、固態變壓器、保護裝置）納入導入時程評估，而非僅以晶片平台的發布時間作為唯一依據。整體而言，800VDC 是因應 AI 機櫃功率密度指數成長而生的必然技術路徑，但其全面普及仍需三至五年的產業磨合期。</w:t>
      </w:r>
    </w:p>
    <w:p>
      <w:pPr>
        <w:pStyle w:val="Heading1"/>
        <w:spacing w:after="200" w:before="360"/>
      </w:pPr>
      <w:r>
        <w:t xml:space="preserve">參考來源</w:t>
      </w:r>
    </w:p>
    <w:p>
      <w:pPr>
        <w:spacing w:after="80"/>
      </w:pPr>
      <w:r>
        <w:rPr>
          <w:sz w:val="20"/>
          <w:szCs w:val="20"/>
        </w:rPr>
        <w:t xml:space="preserve">TI unveils complete 800 VDC power architecture for future generation AI data centers with NVIDIA — </w:t>
      </w:r>
      <w:r>
        <w:rPr>
          <w:color w:val="1155CC"/>
          <w:sz w:val="20"/>
          <w:szCs w:val="20"/>
        </w:rPr>
        <w:t xml:space="preserve">https://www.ti.com/about-ti/newsroom/news-releases/2026/2026-03-16-ti-unveils-complete-800-vdc-power-architecture-for-future-generation-ai-data-centers-with-nvidia.html</w:t>
      </w:r>
    </w:p>
    <w:p>
      <w:pPr>
        <w:spacing w:after="80"/>
      </w:pPr>
      <w:r>
        <w:rPr>
          <w:sz w:val="20"/>
          <w:szCs w:val="20"/>
        </w:rPr>
        <w:t xml:space="preserve">NVIDIA, Google Among First 800V HVDC Adopters (TrendForce) — </w:t>
      </w:r>
      <w:r>
        <w:rPr>
          <w:color w:val="1155CC"/>
          <w:sz w:val="20"/>
          <w:szCs w:val="20"/>
        </w:rPr>
        <w:t xml:space="preserve">https://www.trendforce.com/news/2026/06/15/news-nvidia-google-may-be-first-to-adopt-800v-hvdc-initial-3q26-shipments-may-boost-delta-and-infrastructure-suppliers/</w:t>
      </w:r>
    </w:p>
    <w:p>
      <w:pPr>
        <w:spacing w:after="80"/>
      </w:pPr>
      <w:r>
        <w:rPr>
          <w:sz w:val="20"/>
          <w:szCs w:val="20"/>
        </w:rPr>
        <w:t xml:space="preserve">Nvidia prepares data center industry for 1MW racks and 800-volt DC power architectures (DCD) — </w:t>
      </w:r>
      <w:r>
        <w:rPr>
          <w:color w:val="1155CC"/>
          <w:sz w:val="20"/>
          <w:szCs w:val="20"/>
        </w:rPr>
        <w:t xml:space="preserve">https://www.datacenterdynamics.com/en/news/nvidia-prepares-data-center-industry-for-1mw-racks-and-800-volt-dc-power-architectures/</w:t>
      </w:r>
    </w:p>
    <w:p>
      <w:pPr>
        <w:spacing w:after="80"/>
      </w:pPr>
      <w:r>
        <w:rPr>
          <w:sz w:val="20"/>
          <w:szCs w:val="20"/>
        </w:rPr>
        <w:t xml:space="preserve">NVIDIA Vera Rubin: 600kW Racks by 2027 (Introl) — </w:t>
      </w:r>
      <w:r>
        <w:rPr>
          <w:color w:val="1155CC"/>
          <w:sz w:val="20"/>
          <w:szCs w:val="20"/>
        </w:rPr>
        <w:t xml:space="preserve">https://introl.com/blog/nvidia-vera-rubin-gpu-600kw-racks-2027</w:t>
      </w:r>
    </w:p>
    <w:p>
      <w:pPr>
        <w:spacing w:after="80"/>
      </w:pPr>
      <w:r>
        <w:rPr>
          <w:sz w:val="20"/>
          <w:szCs w:val="20"/>
        </w:rPr>
        <w:t xml:space="preserve">Why Scaling AI Compute Performance Requires a New Power Architecture (NVIDIA Blog) — </w:t>
      </w:r>
      <w:r>
        <w:rPr>
          <w:color w:val="1155CC"/>
          <w:sz w:val="20"/>
          <w:szCs w:val="20"/>
        </w:rPr>
        <w:t xml:space="preserve">https://blogs.nvidia.com/blog/800-vdc-power-architecture-ai-factory/</w:t>
      </w:r>
    </w:p>
    <w:p>
      <w:pPr>
        <w:spacing w:after="80"/>
      </w:pPr>
      <w:r>
        <w:rPr>
          <w:sz w:val="20"/>
          <w:szCs w:val="20"/>
        </w:rPr>
        <w:t xml:space="preserve">Google, Microsoft and Nvidia back 800V DC standard for AI data centers (Network World) — </w:t>
      </w:r>
      <w:r>
        <w:rPr>
          <w:color w:val="1155CC"/>
          <w:sz w:val="20"/>
          <w:szCs w:val="20"/>
        </w:rPr>
        <w:t xml:space="preserve">https://www.networkworld.com/article/4209380/google-microsoft-and-nvidia-back-800v-dc-standard-for-ai-data-centers.html</w:t>
      </w:r>
    </w:p>
    <w:p>
      <w:pPr>
        <w:spacing w:after="80"/>
      </w:pPr>
      <w:r>
        <w:rPr>
          <w:sz w:val="20"/>
          <w:szCs w:val="20"/>
        </w:rPr>
        <w:t xml:space="preserve">OCP Pushes 800 VDC Toward an Open Standard for Megawatt AI Racks (Converge Digest) — </w:t>
      </w:r>
      <w:r>
        <w:rPr>
          <w:color w:val="1155CC"/>
          <w:sz w:val="20"/>
          <w:szCs w:val="20"/>
        </w:rPr>
        <w:t xml:space="preserve">https://convergedigest.com/ocp-800-vdc-standard-megawatt-ai-racks/</w:t>
      </w:r>
    </w:p>
    <w:p>
      <w:pPr>
        <w:spacing w:after="80"/>
      </w:pPr>
      <w:r>
        <w:rPr>
          <w:sz w:val="20"/>
          <w:szCs w:val="20"/>
        </w:rPr>
        <w:t xml:space="preserve">Inside the 800VDC Revolution – Part 1 (SemiAnalysis) — </w:t>
      </w:r>
      <w:r>
        <w:rPr>
          <w:color w:val="1155CC"/>
          <w:sz w:val="20"/>
          <w:szCs w:val="20"/>
        </w:rPr>
        <w:t xml:space="preserve">https://newsletter.semianalysis.com/p/inside-the-800vdc-revolution-part</w:t>
      </w:r>
    </w:p>
    <w:p>
      <w:pPr>
        <w:spacing w:after="80"/>
      </w:pPr>
      <w:r>
        <w:rPr>
          <w:sz w:val="20"/>
          <w:szCs w:val="20"/>
        </w:rPr>
        <w:t xml:space="preserve">Why 800 VDC Data Center Power Delivery Is Replacing 48V — </w:t>
      </w:r>
      <w:r>
        <w:rPr>
          <w:color w:val="1155CC"/>
          <w:sz w:val="20"/>
          <w:szCs w:val="20"/>
        </w:rPr>
        <w:t xml:space="preserve">https://gpusmith.com/articles/en/pdfs/800-vdc-data-center-power-delivery.pdf</w:t>
      </w:r>
    </w:p>
    <w:p>
      <w:pPr>
        <w:spacing w:after="80"/>
      </w:pPr>
      <w:r>
        <w:rPr>
          <w:sz w:val="20"/>
          <w:szCs w:val="20"/>
        </w:rPr>
        <w:t xml:space="preserve">Schneider Electric releases pioneering study assessing arc flash risk in 800 VDC data centers — </w:t>
      </w:r>
      <w:r>
        <w:rPr>
          <w:color w:val="1155CC"/>
          <w:sz w:val="20"/>
          <w:szCs w:val="20"/>
        </w:rPr>
        <w:t xml:space="preserve">https://www.se.com/ww/en/about-us/newsroom/news/press-releases/Schneider-Electric-releases-pioneering-study-assessing-arc-flash-risk-in-800-VDC-data-centers-aligning-with-world27s-leading-hyperscalers-6a705327421430d7d4009133/</w:t>
      </w:r>
    </w:p>
    <w:p>
      <w:pPr>
        <w:spacing w:after="80"/>
      </w:pPr>
      <w:r>
        <w:rPr>
          <w:sz w:val="20"/>
          <w:szCs w:val="20"/>
        </w:rPr>
        <w:t xml:space="preserve">Toward Next-Generation AI Data Centers: Power Delivery Architecture Shifts, Emerging Technologies, and Challenges (arXiv) — </w:t>
      </w:r>
      <w:r>
        <w:rPr>
          <w:color w:val="1155CC"/>
          <w:sz w:val="20"/>
          <w:szCs w:val="20"/>
        </w:rPr>
        <w:t xml:space="preserve">https://arxiv.org/pdf/2606.25095</w:t>
      </w:r>
    </w:p>
    <w:p>
      <w:pPr>
        <w:spacing w:after="80"/>
      </w:pPr>
      <w:r>
        <w:rPr>
          <w:sz w:val="20"/>
          <w:szCs w:val="20"/>
        </w:rPr>
        <w:t xml:space="preserve">AI data center 800VDC power architecture takes shape (DigiTimes) — </w:t>
      </w:r>
      <w:r>
        <w:rPr>
          <w:color w:val="1155CC"/>
          <w:sz w:val="20"/>
          <w:szCs w:val="20"/>
        </w:rPr>
        <w:t xml:space="preserve">https://www.digitimes.com/reports/item.php?id=20260819RS400</w:t>
      </w:r>
    </w:p>
    <w:p>
      <w:pPr>
        <w:spacing w:after="80"/>
      </w:pPr>
      <w:r>
        <w:rPr>
          <w:sz w:val="20"/>
          <w:szCs w:val="20"/>
        </w:rPr>
        <w:t xml:space="preserve">The 800 Volt DC Transition is Coming (Data Center Richness) — </w:t>
      </w:r>
      <w:r>
        <w:rPr>
          <w:color w:val="1155CC"/>
          <w:sz w:val="20"/>
          <w:szCs w:val="20"/>
        </w:rPr>
        <w:t xml:space="preserve">https://datacenterrichness.substack.com/p/the-800-volt-dc-transition-is-coming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2026-09-03T12:02:28.264Z</dcterms:created>
  <dcterms:modified xsi:type="dcterms:W3CDTF">2026-09-03T12:02:28.265Z</dcterms:modified>
</cp:coreProperties>
</file>

<file path=docProps/custom.xml><?xml version="1.0" encoding="utf-8"?>
<Properties xmlns="http://schemas.openxmlformats.org/officeDocument/2006/custom-properties" xmlns:vt="http://schemas.openxmlformats.org/officeDocument/2006/docPropsVTypes"/>
</file>