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电商用户分群与商品关联规则挖掘研究"/>
    <w:p>
      <w:pPr>
        <w:pStyle w:val="Heading1"/>
      </w:pPr>
      <w:r>
        <w:rPr>
          <w:rFonts w:ascii="Times New Roman" w:hAnsi="Times New Roman" w:eastAsia="黑体"/>
          <w:b/>
        </w:rPr>
        <w:t xml:space="preserve">电商用户分群与商品关联规则挖掘研究</w:t>
      </w:r>
    </w:p>
    <w:bookmarkStart w:id="20" w:name="摘要"/>
    <w:p>
      <w:pPr>
        <w:pStyle w:val="Heading2"/>
      </w:pPr>
      <w:r>
        <w:rPr>
          <w:rFonts w:ascii="Times New Roman" w:hAnsi="Times New Roman" w:eastAsia="黑体"/>
          <w:b/>
        </w:rPr>
        <w:t xml:space="preserve">摘要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本文基于 UCI Online Retail II 数据集，对电商零售交易数据进行清洗、用户分群和商品关联规则挖掘。首先去除缺失客户、取消订单、数量和价格异常记录，并构建用户 RFM 特征；然后使用 K-Means 对客户进行聚类，得到高价值活跃客户、沉睡低价值客户、中等价值客户和近期低频客户四类群体；最后基于订单商品篮挖掘二项关联规则，识别商品之间的搭配购买关系。结果表明，RFM + K-Means 能较清楚地区分不同客户价值层次，关联规则可以为商品组合推荐和捆绑销售提供依据。</w:t>
      </w:r>
    </w:p>
    <w:bookmarkEnd w:id="20"/>
    <w:bookmarkStart w:id="21" w:name="关键词"/>
    <w:p>
      <w:pPr>
        <w:pStyle w:val="Heading2"/>
      </w:pPr>
      <w:r>
        <w:rPr>
          <w:rFonts w:ascii="Times New Roman" w:hAnsi="Times New Roman" w:eastAsia="黑体"/>
          <w:b/>
        </w:rPr>
        <w:t xml:space="preserve">关键词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数据挖掘；电商零售；RFM；K-Means；关联规则</w:t>
      </w:r>
    </w:p>
    <w:bookmarkEnd w:id="21"/>
    <w:bookmarkStart w:id="22" w:name="一研究目的"/>
    <w:p>
      <w:pPr>
        <w:pStyle w:val="Heading2"/>
      </w:pPr>
      <w:r>
        <w:rPr>
          <w:rFonts w:ascii="Times New Roman" w:hAnsi="Times New Roman" w:eastAsia="黑体"/>
          <w:b/>
        </w:rPr>
        <w:t xml:space="preserve">一、研究目的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电商平台在日常运营中会积累大量订单数据。单独查看订单明细很难直接判断客户价值，也不容易发现商品之间的共购关系。因此，本文围绕以下两个问题进行分析：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宋体"/>
        </w:rPr>
        <w:t xml:space="preserve">根据客户的购买时间、购买频率和消费金额，将客户划分为不同群体。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宋体"/>
        </w:rPr>
        <w:t xml:space="preserve">根据订单中的商品共现关系，发现适合搭配销售或推荐的商品组合。</w:t>
      </w:r>
    </w:p>
    <w:bookmarkEnd w:id="22"/>
    <w:bookmarkStart w:id="23" w:name="二数据集与预处理"/>
    <w:p>
      <w:pPr>
        <w:pStyle w:val="Heading2"/>
      </w:pPr>
      <w:r>
        <w:rPr>
          <w:rFonts w:ascii="Times New Roman" w:hAnsi="Times New Roman" w:eastAsia="黑体"/>
          <w:b/>
        </w:rPr>
        <w:t xml:space="preserve">二、数据集与预处理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本文使用 UCI Online Retail II 数据集，数据文件包含两个工作表：</w:t>
      </w:r>
      <w:r>
        <w:rPr>
          <w:rStyle w:val="VerbatimChar"/>
          <w:rFonts w:ascii="Times New Roman" w:hAnsi="Times New Roman" w:eastAsia="宋体"/>
        </w:rPr>
        <w:t xml:space="preserve">Year 2009-2010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Year 2010-2011</w:t>
      </w:r>
      <w:r>
        <w:rPr>
          <w:rFonts w:ascii="Times New Roman" w:hAnsi="Times New Roman" w:eastAsia="宋体"/>
        </w:rPr>
        <w:t xml:space="preserve">。两个工作表共有 1,067,371 条原始记录，字段包括订单号、商品编码、商品描述、购买数量、订单时间、单价、客户编号和国家。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预处理步骤如下：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宋体"/>
        </w:rPr>
        <w:t xml:space="preserve">合并两个年份工作表。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宋体"/>
        </w:rPr>
        <w:t xml:space="preserve">删除客户编号、订单时间、商品编码、购买数量、单价缺失的记录。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宋体"/>
        </w:rPr>
        <w:t xml:space="preserve">删除取消订单，即订单号以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开头的记录。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宋体"/>
        </w:rPr>
        <w:t xml:space="preserve">保留购买数量和单价都大于 0 的记录。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宋体"/>
        </w:rPr>
        <w:t xml:space="preserve">新增销售金额字段：</w:t>
      </w:r>
      <w:r>
        <w:rPr>
          <w:rStyle w:val="VerbatimChar"/>
          <w:rFonts w:ascii="Times New Roman" w:hAnsi="Times New Roman" w:eastAsia="宋体"/>
        </w:rPr>
        <w:t xml:space="preserve">Amount = Quantity × Price</w:t>
      </w:r>
      <w:r>
        <w:rPr>
          <w:rFonts w:ascii="Times New Roman" w:hAnsi="Times New Roman" w:eastAsia="宋体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清洗后得到 805,549 条有效交易记录，覆盖 5,878 名客户、36,969 个订单、4,631 种商品和 41 个国家。订单时间范围为 2009-12-01 07:45:00 至 2011-12-09 12:50:00，总销售金额为 17,743,429.18。交易主要来自 United Kingdom，共 725,250 条记录，其次为 Germany、EIRE、France 和 Netherlands。</w:t>
      </w:r>
    </w:p>
    <w:bookmarkEnd w:id="23"/>
    <w:bookmarkStart w:id="29" w:name="三方法"/>
    <w:p>
      <w:pPr>
        <w:pStyle w:val="Heading2"/>
      </w:pPr>
      <w:r>
        <w:rPr>
          <w:rFonts w:ascii="Times New Roman" w:hAnsi="Times New Roman" w:eastAsia="黑体"/>
          <w:b/>
        </w:rPr>
        <w:t xml:space="preserve">三、方法</w:t>
      </w:r>
    </w:p>
    <w:bookmarkStart w:id="25" w:name="rfm-特征构建"/>
    <w:p>
      <w:pPr>
        <w:pStyle w:val="Heading3"/>
      </w:pPr>
      <w:r>
        <w:rPr>
          <w:rFonts w:ascii="Times New Roman" w:hAnsi="Times New Roman" w:eastAsia="黑体"/>
          <w:b/>
        </w:rPr>
        <w:t xml:space="preserve">3.1 RFM 特征构建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本文使用 RFM 模型描述客户价值：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/>
      <w:tr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指标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含义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计算方式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Recency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最近一次消费距统计日期的天数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数据最大订单日期后一天减去客户最近订单日期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Frequency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消费频率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客户不同订单数量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Monetary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消费金额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客户所有订单金额之和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由于 RFM 指标分布偏斜，聚类前先对三个指标做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log1p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变换，再使用标准化处理，减少极端大客户对聚类结果的影响。</w:t>
      </w:r>
    </w:p>
    <w:p>
      <w:pPr>
        <w:pStyle w:val="CaptionedFigure"/>
      </w:pPr>
      <w:r>
        <w:rPr>
          <w:rFonts w:ascii="Times New Roman" w:hAnsi="Times New Roman" w:eastAsia="宋体"/>
        </w:rPr>
        <w:drawing>
          <wp:inline>
            <wp:extent cx="5212080" cy="1477888"/>
            <wp:effectExtent b="0" l="0" r="0" t="0"/>
            <wp:docPr descr="RFM指标分布" title="" id="1" name="Picture"/>
            <a:graphic>
              <a:graphicData uri="http://schemas.openxmlformats.org/drawingml/2006/picture">
                <pic:pic>
                  <pic:nvPicPr>
                    <pic:cNvPr descr="figures/01_rfm_distribu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47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宋体"/>
        </w:rPr>
        <w:t xml:space="preserve">RFM指标分布</w:t>
      </w:r>
    </w:p>
    <w:bookmarkEnd w:id="25"/>
    <w:bookmarkStart w:id="27" w:name="k-means-用户分群"/>
    <w:p>
      <w:pPr>
        <w:pStyle w:val="Heading3"/>
      </w:pPr>
      <w:r>
        <w:rPr>
          <w:rFonts w:ascii="Times New Roman" w:hAnsi="Times New Roman" w:eastAsia="黑体"/>
          <w:b/>
        </w:rPr>
        <w:t xml:space="preserve">3.2 K-Means 用户分群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K-Means 使用 RFM 标准化后的特征进行聚类。实验测试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K=2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K=6</w:t>
      </w:r>
      <w:r>
        <w:rPr>
          <w:rFonts w:ascii="Times New Roman" w:hAnsi="Times New Roman" w:eastAsia="宋体"/>
        </w:rPr>
        <w:t xml:space="preserve">，使用 Inertia 和 Silhouette 作为参考指标。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/>
      <w:tr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K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Inertia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Silhouette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8588.6378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0.4387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6351.9798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0.3478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4918.6401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0.3653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4097.8268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0.3421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3552.9825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0.3336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从轮廓系数看，</w:t>
      </w:r>
      <w:r>
        <w:rPr>
          <w:rStyle w:val="VerbatimChar"/>
          <w:rFonts w:ascii="Times New Roman" w:hAnsi="Times New Roman" w:eastAsia="宋体"/>
        </w:rPr>
        <w:t xml:space="preserve">K=2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的数值最高，但只能得到较粗的两类客户，业务解释性不足。综合 Inertia 下降趋势和分群可解释性，本文选择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K=4</w:t>
      </w:r>
      <w:r>
        <w:rPr>
          <w:rFonts w:ascii="Times New Roman" w:hAnsi="Times New Roman" w:eastAsia="宋体"/>
        </w:rPr>
        <w:t xml:space="preserve">。</w:t>
      </w:r>
    </w:p>
    <w:p>
      <w:pPr>
        <w:pStyle w:val="CaptionedFigure"/>
      </w:pPr>
      <w:r>
        <w:rPr>
          <w:rFonts w:ascii="Times New Roman" w:hAnsi="Times New Roman" w:eastAsia="宋体"/>
        </w:rPr>
        <w:drawing>
          <wp:inline>
            <wp:extent cx="5212080" cy="2939855"/>
            <wp:effectExtent b="0" l="0" r="0" t="0"/>
            <wp:docPr descr="KMeans评估结果" title="" id="1" name="Picture"/>
            <a:graphic>
              <a:graphicData uri="http://schemas.openxmlformats.org/drawingml/2006/picture">
                <pic:pic>
                  <pic:nvPicPr>
                    <pic:cNvPr descr="figures/02_kmeans_evalu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3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宋体"/>
        </w:rPr>
        <w:t xml:space="preserve">KMeans评估结果</w:t>
      </w:r>
    </w:p>
    <w:bookmarkEnd w:id="27"/>
    <w:bookmarkStart w:id="28" w:name="商品关联规则"/>
    <w:p>
      <w:pPr>
        <w:pStyle w:val="Heading3"/>
      </w:pPr>
      <w:r>
        <w:rPr>
          <w:rFonts w:ascii="Times New Roman" w:hAnsi="Times New Roman" w:eastAsia="黑体"/>
          <w:b/>
        </w:rPr>
        <w:t xml:space="preserve">3.3 商品关联规则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关联规则部分以订单为商品篮，先去除邮费、手续费、折扣、平台费用等非普通商品记录，再保留商品数在 2 到 100 之间的订单。最终用于关联规则挖掘的订单数为 33,447。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本文挖掘二项商品关联规则，参数设置为：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/>
      <w:tr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参数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数值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最小支持度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0.015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最小置信度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0.25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共得到 146 条关联规则，并按 Lift、Confidence、Support 排序。</w:t>
      </w:r>
    </w:p>
    <w:bookmarkEnd w:id="28"/>
    <w:bookmarkEnd w:id="29"/>
    <w:bookmarkStart w:id="35" w:name="四实验结果"/>
    <w:p>
      <w:pPr>
        <w:pStyle w:val="Heading2"/>
      </w:pPr>
      <w:r>
        <w:rPr>
          <w:rFonts w:ascii="Times New Roman" w:hAnsi="Times New Roman" w:eastAsia="黑体"/>
          <w:b/>
        </w:rPr>
        <w:t xml:space="preserve">四、实验结果</w:t>
      </w:r>
    </w:p>
    <w:bookmarkStart w:id="32" w:name="用户分群结果"/>
    <w:p>
      <w:pPr>
        <w:pStyle w:val="Heading3"/>
      </w:pPr>
      <w:r>
        <w:rPr>
          <w:rFonts w:ascii="Times New Roman" w:hAnsi="Times New Roman" w:eastAsia="黑体"/>
          <w:b/>
        </w:rPr>
        <w:t xml:space="preserve">4.1 用户分群结果</w:t>
      </w:r>
    </w:p>
    <w:p>
      <w:pPr>
        <w:pStyle w:val="FirstParagraph"/>
      </w:pPr>
      <w:r>
        <w:rPr>
          <w:rStyle w:val="VerbatimChar"/>
          <w:rFonts w:ascii="Times New Roman" w:hAnsi="Times New Roman" w:eastAsia="宋体"/>
        </w:rPr>
        <w:t xml:space="preserve">K=4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时的客户分群结果如下：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/>
      <w:tr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分群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客户数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占比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平均Recency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平均Frequency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平均Monetary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群体解释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1188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20.21%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27.43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19.34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11014.37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高价值活跃客户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1974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33.58%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395.86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1.38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325.75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沉睡低价值客户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1465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24.92%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227.87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5.10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2002.10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中等价值客户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1251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21.28%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28.44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3.04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865.11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近期低频客户</w:t>
            </w:r>
          </w:p>
        </w:tc>
      </w:tr>
    </w:tbl>
    <w:p>
      <w:pPr>
        <w:pStyle w:val="CaptionedFigure"/>
      </w:pPr>
      <w:r>
        <w:rPr>
          <w:rFonts w:ascii="Times New Roman" w:hAnsi="Times New Roman" w:eastAsia="宋体"/>
        </w:rPr>
        <w:drawing>
          <wp:inline>
            <wp:extent cx="5212080" cy="2931795"/>
            <wp:effectExtent b="0" l="0" r="0" t="0"/>
            <wp:docPr descr="客户分群规模" title="" id="1" name="Picture"/>
            <a:graphic>
              <a:graphicData uri="http://schemas.openxmlformats.org/drawingml/2006/picture">
                <pic:pic>
                  <pic:nvPicPr>
                    <pic:cNvPr descr="figures/03_segment_siz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3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宋体"/>
        </w:rPr>
        <w:t xml:space="preserve">客户分群规模</w:t>
      </w:r>
    </w:p>
    <w:p>
      <w:pPr>
        <w:pStyle w:val="CaptionedFigure"/>
      </w:pPr>
      <w:r>
        <w:rPr>
          <w:rFonts w:ascii="Times New Roman" w:hAnsi="Times New Roman" w:eastAsia="宋体"/>
        </w:rPr>
        <w:drawing>
          <wp:inline>
            <wp:extent cx="5212080" cy="2891927"/>
            <wp:effectExtent b="0" l="0" r="0" t="0"/>
            <wp:docPr descr="客户分群RFM特征" title="" id="1" name="Picture"/>
            <a:graphic>
              <a:graphicData uri="http://schemas.openxmlformats.org/drawingml/2006/picture">
                <pic:pic>
                  <pic:nvPicPr>
                    <pic:cNvPr descr="figures/04_segment_rfm_profi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89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宋体"/>
        </w:rPr>
        <w:t xml:space="preserve">客户分群RFM特征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分群 0 的最近消费时间短、购买频率高、消费金额明显最高，是最重要的核心客户。分群 1 最近消费时间很久、购买频率和金额都低，流失风险较高。分群 2 消费金额和频率处于中等水平，但最近消费时间偏长，需要通过召回活动提升活跃度。分群 3 最近有消费行为，但消费频率和金额较低，适合做新人或低频客户的转化运营。</w:t>
      </w:r>
    </w:p>
    <w:bookmarkEnd w:id="32"/>
    <w:bookmarkStart w:id="34" w:name="关联规则结果"/>
    <w:p>
      <w:pPr>
        <w:pStyle w:val="Heading3"/>
      </w:pPr>
      <w:r>
        <w:rPr>
          <w:rFonts w:ascii="Times New Roman" w:hAnsi="Times New Roman" w:eastAsia="黑体"/>
          <w:b/>
        </w:rPr>
        <w:t xml:space="preserve">4.2 关联规则结果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Lift 排名前五的规则如下：</w:t>
      </w:r>
    </w:p>
    <w:tbl>
      <w:tblPr>
        <w:tblStyle w:val="Table"/>
        <w:tblW w:type="pct" w:w="500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1080"/>
        <w:gridCol w:w="1080"/>
        <w:gridCol w:w="1440"/>
        <w:gridCol w:w="1440"/>
        <w:gridCol w:w="1440"/>
        <w:gridCol w:w="1440"/>
      </w:tblGrid>
      <w:tr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前项商品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后项商品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Support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Confidence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Lift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Count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PINK REGENCY TEACUP AND SAUCER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GREEN REGENCY TEACUP AND SAUCER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0.0182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0.8480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31.3742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608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GREEN REGENCY TEACUP AND SAUCER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PINK REGENCY TEACUP AND SAUCER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0.0182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0.6726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31.3742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608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BATHROOM METAL SIGN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TOILET METAL SIGN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0.0150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0.5904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29.5161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503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TOILET METAL SIGN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BATHROOM METAL SIGN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0.0150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0.7519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29.5161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503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PINK REGENCY TEACUP AND SAUCER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ROSES REGENCY TEACUP AND SAUCER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0.0173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0.8075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26.4281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579</w:t>
            </w:r>
          </w:p>
        </w:tc>
      </w:tr>
    </w:tbl>
    <w:p>
      <w:pPr>
        <w:pStyle w:val="CaptionedFigure"/>
      </w:pPr>
      <w:r>
        <w:rPr>
          <w:rFonts w:ascii="Times New Roman" w:hAnsi="Times New Roman" w:eastAsia="宋体"/>
        </w:rPr>
        <w:drawing>
          <wp:inline>
            <wp:extent cx="5212080" cy="2859751"/>
            <wp:effectExtent b="0" l="0" r="0" t="0"/>
            <wp:docPr descr="关联规则Lift排名" title="" id="1" name="Picture"/>
            <a:graphic>
              <a:graphicData uri="http://schemas.openxmlformats.org/drawingml/2006/picture">
                <pic:pic>
                  <pic:nvPicPr>
                    <pic:cNvPr descr="figures/05_top_rules_lif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85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宋体"/>
        </w:rPr>
        <w:t xml:space="preserve">关联规则Lift排名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这些规则的 Lift 都远大于 1，说明商品之间存在明显的共购关系。例如，粉色、绿色、玫瑰图案茶杯碟属于同系列商品，适合组合展示或套装推荐；浴室金属牌和厕所金属牌属于同场景商品，也适合一起推荐。</w:t>
      </w:r>
    </w:p>
    <w:bookmarkEnd w:id="34"/>
    <w:bookmarkEnd w:id="35"/>
    <w:bookmarkStart w:id="36" w:name="五运营建议"/>
    <w:p>
      <w:pPr>
        <w:pStyle w:val="Heading2"/>
      </w:pPr>
      <w:r>
        <w:rPr>
          <w:rFonts w:ascii="Times New Roman" w:hAnsi="Times New Roman" w:eastAsia="黑体"/>
          <w:b/>
        </w:rPr>
        <w:t xml:space="preserve">五、运营建议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针对不同客户群体，可以采取以下策略：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/>
      <w:tr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客户群体</w:t>
            </w:r>
          </w:p>
        </w:tc>
        <w:tc>
          <w:tcPr>
            <w:shd w:fill="F2F4F7"/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建议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高价值活跃客户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重点维护，可提供会员权益、提前购、新品推荐和高客单价组合推荐。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沉睡低价值客户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不宜投入过高成本，可使用优惠券、邮件召回等低成本方式测试是否能重新激活。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中等价值客户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具备进一步转化空间，可结合历史购买品类做个性化推荐，提高复购频率。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近期低频客户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最近仍有购买行为，应通过满减、组合购、关联商品推荐提升客单价和购买频率。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根据关联规则结果，平台可以将强关联商品放在详情页、购物车页或推荐栏中，也可以将同系列商品做成套装，提高连带购买概率。</w:t>
      </w:r>
    </w:p>
    <w:bookmarkEnd w:id="36"/>
    <w:bookmarkStart w:id="37" w:name="六结论"/>
    <w:p>
      <w:pPr>
        <w:pStyle w:val="Heading2"/>
      </w:pPr>
      <w:r>
        <w:rPr>
          <w:rFonts w:ascii="Times New Roman" w:hAnsi="Times New Roman" w:eastAsia="黑体"/>
          <w:b/>
        </w:rPr>
        <w:t xml:space="preserve">六、结论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本文完成了对 Online Retail II 数据集的清洗、RFM 特征构建、K-Means 用户分群和商品关联规则挖掘。实验结果显示，客户可以较清楚地分为四类，不同群体在最近消费时间、消费频率和消费金额上差异明显；商品关联规则能够发现同系列、同场景商品之间的强共购关系。整体来看，聚类分析适合用于客户分层，关联规则适合用于商品推荐和组合销售，两者结合可以为电商运营提供较直接的数据依据。</w:t>
      </w:r>
    </w:p>
    <w:bookmarkEnd w:id="37"/>
    <w:bookmarkEnd w:id="38"/>
    <w:sect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Times New Roman" w:hAnsi="Times New Roman" w:eastAsia="宋体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1" Type="http://schemas.openxmlformats.org/officeDocument/2006/relationships/image" Target="media/rId31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2026-05-22T08:00:46Z</dcterms:created>
  <dcterms:modified xsi:type="dcterms:W3CDTF">2026-05-22T08:00:46Z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