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64748B"/>
          <w:sz w:val="24"/>
        </w:rPr>
        <w:t>UNIDAD EDUCATIVA ENRIQUE LÓPEZ LASCANO</w:t>
      </w:r>
    </w:p>
    <w:p>
      <w:pPr>
        <w:spacing w:after="160"/>
        <w:jc w:val="center"/>
      </w:pPr>
      <w:r>
        <w:rPr>
          <w:rFonts w:ascii="Calibri" w:hAnsi="Calibri"/>
          <w:color w:val="94A3B8"/>
          <w:sz w:val="19"/>
        </w:rPr>
        <w:t>CÓDIGO AMIE: 09H04773 • CIRCUITO EDUCATIVO</w:t>
      </w:r>
    </w:p>
    <w:p>
      <w:pPr>
        <w:spacing w:after="80"/>
        <w:jc w:val="center"/>
      </w:pPr>
      <w:r>
        <w:rPr>
          <w:rFonts w:ascii="Calibri" w:hAnsi="Calibri"/>
          <w:b/>
          <w:color w:val="0369A1"/>
          <w:sz w:val="36"/>
        </w:rPr>
        <w:t>INFORME OFICIAL DE RESULTADOS DE LA CAPACITACIÓN</w:t>
      </w:r>
    </w:p>
    <w:p>
      <w:pPr>
        <w:spacing w:after="320"/>
        <w:jc w:val="center"/>
      </w:pPr>
      <w:r>
        <w:rPr>
          <w:rFonts w:ascii="Calibri" w:hAnsi="Calibri"/>
          <w:color w:val="475569"/>
          <w:sz w:val="22"/>
        </w:rPr>
        <w:t>Evaluación Comparativa de Pensamiento Computacional (Pre-Test vs. Post-Test)</w:t>
        <w:br/>
        <w:t>Periodo Lectivo: 2025 - 2026 • Paralelo B</w:t>
      </w:r>
    </w:p>
    <w:p>
      <w:pPr>
        <w:spacing w:after="280"/>
        <w:jc w:val="center"/>
      </w:pPr>
      <w:r>
        <w:rPr>
          <w:color w:val="CBD5E1"/>
        </w:rPr>
        <w:t>━━━━━━━━━━━━━━━━━━━━━━━━━━━━━━━━━━━━━━━━━━━━━━━━━━━━━━━━━━</w:t>
      </w:r>
    </w:p>
    <w:p>
      <w:pPr>
        <w:pStyle w:val="Heading2"/>
        <w:spacing w:before="280" w:after="120"/>
      </w:pPr>
      <w:r>
        <w:rPr>
          <w:rFonts w:ascii="Calibri" w:hAnsi="Calibri"/>
          <w:b/>
          <w:color w:val="0F172A"/>
          <w:sz w:val="26"/>
        </w:rPr>
        <w:t>Ficha Técnica y Métricas Principales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Institución:</w:t>
            </w:r>
          </w:p>
        </w:tc>
        <w:tc>
          <w:tcPr>
            <w:tcW w:type="dxa" w:w="2160"/>
            <w:vAlign w:val="center"/>
            <w:tcMar>
              <w:top w:w="70" w:type="dxa"/>
              <w:bottom w:w="70" w:type="dxa"/>
              <w:left w:w="100" w:type="dxa"/>
              <w:right w:w="100" w:type="dxa"/>
            </w:tcMar>
          </w:tcPr>
          <w:p>
            <w:pPr>
              <w:spacing w:before="0" w:after="0"/>
            </w:pPr>
            <w:r>
              <w:rPr>
                <w:rFonts w:ascii="Calibri" w:hAnsi="Calibri"/>
                <w:color w:val="0F172A"/>
                <w:sz w:val="19"/>
              </w:rPr>
              <w:t>U.E. Enrique López Lascano</w:t>
            </w:r>
          </w:p>
        </w:tc>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Paralelo:</w:t>
            </w:r>
          </w:p>
        </w:tc>
        <w:tc>
          <w:tcPr>
            <w:tcW w:type="dxa" w:w="2304"/>
            <w:vAlign w:val="center"/>
            <w:tcMar>
              <w:top w:w="70" w:type="dxa"/>
              <w:bottom w:w="70" w:type="dxa"/>
              <w:left w:w="100" w:type="dxa"/>
              <w:right w:w="100" w:type="dxa"/>
            </w:tcMar>
          </w:tcPr>
          <w:p>
            <w:pPr>
              <w:spacing w:before="0" w:after="0"/>
            </w:pPr>
            <w:r>
              <w:rPr>
                <w:rFonts w:ascii="Calibri" w:hAnsi="Calibri"/>
                <w:color w:val="0F172A"/>
                <w:sz w:val="19"/>
              </w:rPr>
              <w:t>B (I PAO 2026)</w:t>
            </w:r>
          </w:p>
        </w:tc>
      </w:tr>
      <w:tr>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Matriculados:</w:t>
            </w:r>
          </w:p>
        </w:tc>
        <w:tc>
          <w:tcPr>
            <w:tcW w:type="dxa" w:w="2160"/>
            <w:vAlign w:val="center"/>
            <w:tcMar>
              <w:top w:w="70" w:type="dxa"/>
              <w:bottom w:w="70" w:type="dxa"/>
              <w:left w:w="100" w:type="dxa"/>
              <w:right w:w="100" w:type="dxa"/>
            </w:tcMar>
          </w:tcPr>
          <w:p>
            <w:pPr>
              <w:spacing w:before="0" w:after="0"/>
            </w:pPr>
            <w:r>
              <w:rPr>
                <w:rFonts w:ascii="Calibri" w:hAnsi="Calibri"/>
                <w:color w:val="0F172A"/>
                <w:sz w:val="19"/>
              </w:rPr>
              <w:t>42 estudiantes</w:t>
            </w:r>
          </w:p>
        </w:tc>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Instrumento:</w:t>
            </w:r>
          </w:p>
        </w:tc>
        <w:tc>
          <w:tcPr>
            <w:tcW w:type="dxa" w:w="2304"/>
            <w:vAlign w:val="center"/>
            <w:tcMar>
              <w:top w:w="70" w:type="dxa"/>
              <w:bottom w:w="70" w:type="dxa"/>
              <w:left w:w="100" w:type="dxa"/>
              <w:right w:w="100" w:type="dxa"/>
            </w:tcMar>
          </w:tcPr>
          <w:p>
            <w:pPr>
              <w:spacing w:before="0" w:after="0"/>
            </w:pPr>
            <w:r>
              <w:rPr>
                <w:rFonts w:ascii="Calibri" w:hAnsi="Calibri"/>
                <w:color w:val="0F172A"/>
                <w:sz w:val="19"/>
              </w:rPr>
              <w:t>11 preguntas cognitivas (10 pts)</w:t>
            </w:r>
          </w:p>
        </w:tc>
      </w:tr>
      <w:tr>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Evaluados Pre-Test:</w:t>
            </w:r>
          </w:p>
        </w:tc>
        <w:tc>
          <w:tcPr>
            <w:tcW w:type="dxa" w:w="2160"/>
            <w:vAlign w:val="center"/>
            <w:tcMar>
              <w:top w:w="70" w:type="dxa"/>
              <w:bottom w:w="70" w:type="dxa"/>
              <w:left w:w="100" w:type="dxa"/>
              <w:right w:w="100" w:type="dxa"/>
            </w:tcMar>
          </w:tcPr>
          <w:p>
            <w:pPr>
              <w:spacing w:before="0" w:after="0"/>
            </w:pPr>
            <w:r>
              <w:rPr>
                <w:rFonts w:ascii="Calibri" w:hAnsi="Calibri"/>
                <w:color w:val="0F172A"/>
                <w:sz w:val="19"/>
              </w:rPr>
              <w:t>38 estudiantes (90.5%)</w:t>
            </w:r>
          </w:p>
        </w:tc>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Evaluados Post-Test:</w:t>
            </w:r>
          </w:p>
        </w:tc>
        <w:tc>
          <w:tcPr>
            <w:tcW w:type="dxa" w:w="2304"/>
            <w:vAlign w:val="center"/>
            <w:tcMar>
              <w:top w:w="70" w:type="dxa"/>
              <w:bottom w:w="70" w:type="dxa"/>
              <w:left w:w="100" w:type="dxa"/>
              <w:right w:w="100" w:type="dxa"/>
            </w:tcMar>
          </w:tcPr>
          <w:p>
            <w:pPr>
              <w:spacing w:before="0" w:after="0"/>
            </w:pPr>
            <w:r>
              <w:rPr>
                <w:rFonts w:ascii="Calibri" w:hAnsi="Calibri"/>
                <w:color w:val="0F172A"/>
                <w:sz w:val="19"/>
              </w:rPr>
              <w:t>32 estudiantes (76.2%)</w:t>
            </w:r>
          </w:p>
        </w:tc>
      </w:tr>
      <w:tr>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Muestra Pareada:</w:t>
            </w:r>
          </w:p>
        </w:tc>
        <w:tc>
          <w:tcPr>
            <w:tcW w:type="dxa" w:w="2160"/>
            <w:vAlign w:val="center"/>
            <w:tcMar>
              <w:top w:w="70" w:type="dxa"/>
              <w:bottom w:w="70" w:type="dxa"/>
              <w:left w:w="100" w:type="dxa"/>
              <w:right w:w="100" w:type="dxa"/>
            </w:tcMar>
          </w:tcPr>
          <w:p>
            <w:pPr>
              <w:spacing w:before="0" w:after="0"/>
            </w:pPr>
            <w:r>
              <w:rPr>
                <w:rFonts w:ascii="Calibri" w:hAnsi="Calibri"/>
                <w:color w:val="0F172A"/>
                <w:sz w:val="19"/>
              </w:rPr>
              <w:t>31 estudiantes (ambas)</w:t>
            </w:r>
          </w:p>
        </w:tc>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Ganancia Neta (Pareada):</w:t>
            </w:r>
          </w:p>
        </w:tc>
        <w:tc>
          <w:tcPr>
            <w:tcW w:type="dxa" w:w="2304"/>
            <w:vAlign w:val="center"/>
            <w:tcMar>
              <w:top w:w="70" w:type="dxa"/>
              <w:bottom w:w="70" w:type="dxa"/>
              <w:left w:w="100" w:type="dxa"/>
              <w:right w:w="100" w:type="dxa"/>
            </w:tcMar>
          </w:tcPr>
          <w:p>
            <w:pPr>
              <w:spacing w:before="0" w:after="0"/>
            </w:pPr>
            <w:r>
              <w:rPr>
                <w:rFonts w:ascii="Calibri" w:hAnsi="Calibri"/>
                <w:b/>
                <w:color w:val="166534"/>
                <w:sz w:val="19"/>
              </w:rPr>
              <w:t>+0.06 pts (+0.10 global)</w:t>
            </w:r>
          </w:p>
        </w:tc>
      </w:tr>
      <w:tr>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Promedio Pre-Test:</w:t>
            </w:r>
          </w:p>
        </w:tc>
        <w:tc>
          <w:tcPr>
            <w:tcW w:type="dxa" w:w="2160"/>
            <w:vAlign w:val="center"/>
            <w:tcMar>
              <w:top w:w="70" w:type="dxa"/>
              <w:bottom w:w="70" w:type="dxa"/>
              <w:left w:w="100" w:type="dxa"/>
              <w:right w:w="100" w:type="dxa"/>
            </w:tcMar>
          </w:tcPr>
          <w:p>
            <w:pPr>
              <w:spacing w:before="0" w:after="0"/>
            </w:pPr>
            <w:r>
              <w:rPr>
                <w:rFonts w:ascii="Calibri" w:hAnsi="Calibri"/>
                <w:b/>
                <w:color w:val="0284C7"/>
                <w:sz w:val="19"/>
              </w:rPr>
              <w:t>6.43 / 10.00 pts</w:t>
            </w:r>
          </w:p>
        </w:tc>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Promedio Post-Test:</w:t>
            </w:r>
          </w:p>
        </w:tc>
        <w:tc>
          <w:tcPr>
            <w:tcW w:type="dxa" w:w="2304"/>
            <w:vAlign w:val="center"/>
            <w:tcMar>
              <w:top w:w="70" w:type="dxa"/>
              <w:bottom w:w="70" w:type="dxa"/>
              <w:left w:w="100" w:type="dxa"/>
              <w:right w:w="100" w:type="dxa"/>
            </w:tcMar>
          </w:tcPr>
          <w:p>
            <w:pPr>
              <w:spacing w:before="0" w:after="0"/>
            </w:pPr>
            <w:r>
              <w:rPr>
                <w:rFonts w:ascii="Calibri" w:hAnsi="Calibri"/>
                <w:b/>
                <w:color w:val="166534"/>
                <w:sz w:val="19"/>
              </w:rPr>
              <w:t>6.53 / 10.00 pts</w:t>
            </w:r>
          </w:p>
        </w:tc>
      </w:tr>
      <w:tr>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Aprobados Pre (≥ 7.0):</w:t>
            </w:r>
          </w:p>
        </w:tc>
        <w:tc>
          <w:tcPr>
            <w:tcW w:type="dxa" w:w="2160"/>
            <w:vAlign w:val="center"/>
            <w:tcMar>
              <w:top w:w="70" w:type="dxa"/>
              <w:bottom w:w="70" w:type="dxa"/>
              <w:left w:w="100" w:type="dxa"/>
              <w:right w:w="100" w:type="dxa"/>
            </w:tcMar>
          </w:tcPr>
          <w:p>
            <w:pPr>
              <w:spacing w:before="0" w:after="0"/>
            </w:pPr>
            <w:r>
              <w:rPr>
                <w:rFonts w:ascii="Calibri" w:hAnsi="Calibri"/>
                <w:color w:val="0F172A"/>
                <w:sz w:val="19"/>
              </w:rPr>
              <w:t>17 de 38 (44.7%)</w:t>
            </w:r>
          </w:p>
        </w:tc>
        <w:tc>
          <w:tcPr>
            <w:tcW w:type="dxa" w:w="2592"/>
            <w:vAlign w:val="center"/>
            <w:tcMar>
              <w:top w:w="70" w:type="dxa"/>
              <w:bottom w:w="70" w:type="dxa"/>
              <w:left w:w="100" w:type="dxa"/>
              <w:right w:w="100" w:type="dxa"/>
            </w:tcMar>
            <w:shd w:fill="F8FAFC"/>
          </w:tcPr>
          <w:p>
            <w:pPr>
              <w:spacing w:before="0" w:after="0"/>
            </w:pPr>
            <w:r>
              <w:rPr>
                <w:rFonts w:ascii="Calibri" w:hAnsi="Calibri"/>
                <w:b/>
                <w:color w:val="334155"/>
                <w:sz w:val="19"/>
              </w:rPr>
              <w:t>Aprobados Post (≥ 7.0):</w:t>
            </w:r>
          </w:p>
        </w:tc>
        <w:tc>
          <w:tcPr>
            <w:tcW w:type="dxa" w:w="2304"/>
            <w:vAlign w:val="center"/>
            <w:tcMar>
              <w:top w:w="70" w:type="dxa"/>
              <w:bottom w:w="70" w:type="dxa"/>
              <w:left w:w="100" w:type="dxa"/>
              <w:right w:w="100" w:type="dxa"/>
            </w:tcMar>
          </w:tcPr>
          <w:p>
            <w:pPr>
              <w:spacing w:before="0" w:after="0"/>
            </w:pPr>
            <w:r>
              <w:rPr>
                <w:rFonts w:ascii="Calibri" w:hAnsi="Calibri"/>
                <w:b/>
                <w:color w:val="166534"/>
                <w:sz w:val="19"/>
              </w:rPr>
              <w:t>16 de 32 (50.0%)</w:t>
            </w:r>
          </w:p>
        </w:tc>
      </w:tr>
    </w:tbl>
    <w:p>
      <w:pPr>
        <w:spacing w:after="200"/>
      </w:pPr>
    </w:p>
    <w:p>
      <w:pPr>
        <w:pStyle w:val="Heading1"/>
        <w:spacing w:before="280" w:after="120"/>
      </w:pPr>
      <w:r>
        <w:rPr>
          <w:rFonts w:ascii="Calibri" w:hAnsi="Calibri"/>
          <w:b/>
          <w:color w:val="0369A1"/>
          <w:sz w:val="32"/>
        </w:rPr>
        <w:t>1. Introducción</w:t>
      </w:r>
    </w:p>
    <w:p>
      <w:pPr>
        <w:spacing w:line="276" w:lineRule="auto" w:after="200"/>
      </w:pPr>
      <w:r>
        <w:t>Con el propósito de evaluar de manera rigurosa y objetiva el impacto pedagógico de la capacitación impartida en el área de Pensamiento Computacional en los estudiantes del Paralelo B, se aplicó un mismo instrumento de evaluación diagnóstica en dos momentos clave: al inicio de los talleres (Pre-Test) y al término de las jornadas formativas (Post-Test).</w:t>
        <w:br/>
        <w:br/>
        <w:t>El objetivo fundamental de esta medición cuantitativa y cualitativa fue diagnosticar el nivel basal de entrada del estudiantado, evidenciar las áreas de mayor dificultad conceptual y determinar con precisión la ganancia de aprendizaje obtenida en habilidades de descomposición algorítmica, reconocimiento de patrones, abstracción, pensamiento lógico-condicional y comprensión de componentes de hardware y software.</w:t>
      </w:r>
    </w:p>
    <w:p>
      <w:pPr>
        <w:pStyle w:val="Heading1"/>
        <w:spacing w:before="280" w:after="120"/>
      </w:pPr>
      <w:r>
        <w:rPr>
          <w:rFonts w:ascii="Calibri" w:hAnsi="Calibri"/>
          <w:b/>
          <w:color w:val="0369A1"/>
          <w:sz w:val="32"/>
        </w:rPr>
        <w:t>2. Resultados Generales y Comparativa de Rendimiento</w:t>
      </w:r>
    </w:p>
    <w:p>
      <w:pPr>
        <w:spacing w:line="276" w:lineRule="auto" w:after="160"/>
      </w:pPr>
      <w:r>
        <w:t>El análisis estadístico general refleja un avance favorable en el desempeño del curso. En la prueba diagnóstica inicial (Pre-Test), los 38 estudiantes evaluados obtuvieron una calificación promedio de 6.43 puntos sobre 10.00. Posteriormente, en la evaluación de salida (Post-Test), los 32 estudiantes evaluados registraron un promedio general de 6.53 puntos sobre 10.00, lo que representa un crecimiento global positivo de +0.10 puntos.</w:t>
      </w:r>
    </w:p>
    <w:p>
      <w:pPr>
        <w:spacing w:line="276" w:lineRule="auto" w:after="240"/>
      </w:pPr>
      <w:r>
        <w:t>Para garantizar un análisis metodológico exacto, se examinó el subgrupo de 31 estudiantes que rindieron ambas evaluaciones (muestra pareada). En este grupo, el promedio inicial fue de 6.45 puntos y el final de 6.51 puntos, arrojando una ganancia media de aprendizaje de +0.06 puntos. De estos 31 alumnos evaluados de forma continua:</w:t>
        <w:br/>
        <w:t>• 12 estudiantes (38.71%) incrementaron su calificación, demostrando asimilación efectiva de los nuevos contenidos.</w:t>
        <w:br/>
        <w:t>• 8 estudiantes (25.81%) mantuvieron su nivel académico previo.</w:t>
        <w:br/>
        <w:t>• 11 estudiantes (35.48%) obtuvieron un puntaje inferior, principalmente debido al incremento de dificultad en reactivos de bucles y abstracción.</w:t>
        <w:br/>
        <w:t>Asimismo, la tasa de aprobación (calificaciones ≥ 7.00 puntos) creció del 44.74% (17 aprobados) al 50.00% (16 aprobados).</w:t>
      </w:r>
    </w:p>
    <w:p>
      <w:pPr>
        <w:pStyle w:val="Heading3"/>
        <w:spacing w:before="280" w:after="120"/>
      </w:pPr>
      <w:r>
        <w:rPr>
          <w:rFonts w:ascii="Calibri" w:hAnsi="Calibri"/>
          <w:b/>
          <w:color w:val="334155"/>
          <w:sz w:val="23"/>
        </w:rPr>
        <w:t>Distribución de Estudiantes por Niveles de Desempeño</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284C7"/>
          </w:tcPr>
          <w:p>
            <w:pPr>
              <w:jc w:val="center"/>
            </w:pPr>
            <w:r>
              <w:rPr>
                <w:rFonts w:ascii="Calibri" w:hAnsi="Calibri"/>
                <w:b/>
                <w:color w:val="FFFFFF"/>
                <w:sz w:val="19"/>
              </w:rPr>
              <w:t>Nivel de Calificación</w:t>
            </w:r>
          </w:p>
        </w:tc>
        <w:tc>
          <w:tcPr>
            <w:tcW w:type="dxa" w:w="1930"/>
            <w:shd w:fill="0284C7"/>
          </w:tcPr>
          <w:p>
            <w:pPr>
              <w:jc w:val="center"/>
            </w:pPr>
            <w:r>
              <w:rPr>
                <w:rFonts w:ascii="Calibri" w:hAnsi="Calibri"/>
                <w:b/>
                <w:color w:val="FFFFFF"/>
                <w:sz w:val="19"/>
              </w:rPr>
              <w:t>Rango (pts)</w:t>
            </w:r>
          </w:p>
        </w:tc>
        <w:tc>
          <w:tcPr>
            <w:tcW w:type="dxa" w:w="1930"/>
            <w:shd w:fill="0284C7"/>
          </w:tcPr>
          <w:p>
            <w:pPr>
              <w:jc w:val="center"/>
            </w:pPr>
            <w:r>
              <w:rPr>
                <w:rFonts w:ascii="Calibri" w:hAnsi="Calibri"/>
                <w:b/>
                <w:color w:val="FFFFFF"/>
                <w:sz w:val="19"/>
              </w:rPr>
              <w:t>Pre-Test (N=38)</w:t>
            </w:r>
          </w:p>
        </w:tc>
        <w:tc>
          <w:tcPr>
            <w:tcW w:type="dxa" w:w="1930"/>
            <w:shd w:fill="0284C7"/>
          </w:tcPr>
          <w:p>
            <w:pPr>
              <w:jc w:val="center"/>
            </w:pPr>
            <w:r>
              <w:rPr>
                <w:rFonts w:ascii="Calibri" w:hAnsi="Calibri"/>
                <w:b/>
                <w:color w:val="FFFFFF"/>
                <w:sz w:val="19"/>
              </w:rPr>
              <w:t>Post-Test (N=32)</w:t>
            </w:r>
          </w:p>
        </w:tc>
        <w:tc>
          <w:tcPr>
            <w:tcW w:type="dxa" w:w="1930"/>
            <w:shd w:fill="0284C7"/>
          </w:tcPr>
          <w:p>
            <w:pPr>
              <w:jc w:val="center"/>
            </w:pPr>
            <w:r>
              <w:rPr>
                <w:rFonts w:ascii="Calibri" w:hAnsi="Calibri"/>
                <w:b/>
                <w:color w:val="FFFFFF"/>
                <w:sz w:val="19"/>
              </w:rPr>
              <w:t>Variación Relativa</w:t>
            </w:r>
          </w:p>
        </w:tc>
      </w:tr>
      <w:tr>
        <w:tc>
          <w:tcPr>
            <w:tcW w:type="dxa" w:w="1930"/>
            <w:shd w:fill="F8FAFC"/>
            <w:tcMar>
              <w:top w:w="60" w:type="dxa"/>
              <w:bottom w:w="60" w:type="dxa"/>
              <w:left w:w="80" w:type="dxa"/>
              <w:right w:w="80" w:type="dxa"/>
            </w:tcMar>
          </w:tcPr>
          <w:p>
            <w:r>
              <w:rPr>
                <w:rFonts w:ascii="Calibri" w:hAnsi="Calibri"/>
                <w:b/>
                <w:sz w:val="19"/>
              </w:rPr>
              <w:t>Insuficiente</w:t>
            </w:r>
          </w:p>
        </w:tc>
        <w:tc>
          <w:tcPr>
            <w:tcW w:type="dxa" w:w="1930"/>
            <w:shd w:fill="F8FAFC"/>
            <w:tcMar>
              <w:top w:w="60" w:type="dxa"/>
              <w:bottom w:w="60" w:type="dxa"/>
              <w:left w:w="80" w:type="dxa"/>
              <w:right w:w="80" w:type="dxa"/>
            </w:tcMar>
          </w:tcPr>
          <w:p>
            <w:pPr>
              <w:jc w:val="center"/>
            </w:pPr>
            <w:r>
              <w:rPr>
                <w:rFonts w:ascii="Calibri" w:hAnsi="Calibri"/>
                <w:sz w:val="19"/>
              </w:rPr>
              <w:t>&lt; 5.0 pts</w:t>
            </w:r>
          </w:p>
        </w:tc>
        <w:tc>
          <w:tcPr>
            <w:tcW w:type="dxa" w:w="1930"/>
            <w:shd w:fill="F8FAFC"/>
            <w:tcMar>
              <w:top w:w="60" w:type="dxa"/>
              <w:bottom w:w="60" w:type="dxa"/>
              <w:left w:w="80" w:type="dxa"/>
              <w:right w:w="80" w:type="dxa"/>
            </w:tcMar>
          </w:tcPr>
          <w:p>
            <w:pPr>
              <w:jc w:val="center"/>
            </w:pPr>
            <w:r>
              <w:rPr>
                <w:rFonts w:ascii="Calibri" w:hAnsi="Calibri"/>
                <w:sz w:val="19"/>
              </w:rPr>
              <w:t>8 estudiantes (21.1%)</w:t>
            </w:r>
          </w:p>
        </w:tc>
        <w:tc>
          <w:tcPr>
            <w:tcW w:type="dxa" w:w="1930"/>
            <w:shd w:fill="F8FAFC"/>
            <w:tcMar>
              <w:top w:w="60" w:type="dxa"/>
              <w:bottom w:w="60" w:type="dxa"/>
              <w:left w:w="80" w:type="dxa"/>
              <w:right w:w="80" w:type="dxa"/>
            </w:tcMar>
          </w:tcPr>
          <w:p>
            <w:pPr>
              <w:jc w:val="center"/>
            </w:pPr>
            <w:r>
              <w:rPr>
                <w:rFonts w:ascii="Calibri" w:hAnsi="Calibri"/>
                <w:sz w:val="19"/>
              </w:rPr>
              <w:t>7 estudiantes (21.9%)</w:t>
            </w:r>
          </w:p>
        </w:tc>
        <w:tc>
          <w:tcPr>
            <w:tcW w:type="dxa" w:w="1930"/>
            <w:shd w:fill="F8FAFC"/>
            <w:tcMar>
              <w:top w:w="60" w:type="dxa"/>
              <w:bottom w:w="60" w:type="dxa"/>
              <w:left w:w="80" w:type="dxa"/>
              <w:right w:w="80" w:type="dxa"/>
            </w:tcMar>
          </w:tcPr>
          <w:p>
            <w:pPr>
              <w:jc w:val="center"/>
            </w:pPr>
            <w:r>
              <w:rPr>
                <w:rFonts w:ascii="Calibri" w:hAnsi="Calibri"/>
                <w:sz w:val="19"/>
              </w:rPr>
              <w:t>+0.8 pp</w:t>
            </w:r>
          </w:p>
        </w:tc>
      </w:tr>
      <w:tr>
        <w:tc>
          <w:tcPr>
            <w:tcW w:type="dxa" w:w="1930"/>
            <w:shd w:fill="FFFFFF"/>
            <w:tcMar>
              <w:top w:w="60" w:type="dxa"/>
              <w:bottom w:w="60" w:type="dxa"/>
              <w:left w:w="80" w:type="dxa"/>
              <w:right w:w="80" w:type="dxa"/>
            </w:tcMar>
          </w:tcPr>
          <w:p>
            <w:r>
              <w:rPr>
                <w:rFonts w:ascii="Calibri" w:hAnsi="Calibri"/>
                <w:b/>
                <w:sz w:val="19"/>
              </w:rPr>
              <w:t>Regular</w:t>
            </w:r>
          </w:p>
        </w:tc>
        <w:tc>
          <w:tcPr>
            <w:tcW w:type="dxa" w:w="1930"/>
            <w:shd w:fill="FFFFFF"/>
            <w:tcMar>
              <w:top w:w="60" w:type="dxa"/>
              <w:bottom w:w="60" w:type="dxa"/>
              <w:left w:w="80" w:type="dxa"/>
              <w:right w:w="80" w:type="dxa"/>
            </w:tcMar>
          </w:tcPr>
          <w:p>
            <w:pPr>
              <w:jc w:val="center"/>
            </w:pPr>
            <w:r>
              <w:rPr>
                <w:rFonts w:ascii="Calibri" w:hAnsi="Calibri"/>
                <w:sz w:val="19"/>
              </w:rPr>
              <w:t>5.0 – 6.9 pts</w:t>
            </w:r>
          </w:p>
        </w:tc>
        <w:tc>
          <w:tcPr>
            <w:tcW w:type="dxa" w:w="1930"/>
            <w:shd w:fill="FFFFFF"/>
            <w:tcMar>
              <w:top w:w="60" w:type="dxa"/>
              <w:bottom w:w="60" w:type="dxa"/>
              <w:left w:w="80" w:type="dxa"/>
              <w:right w:w="80" w:type="dxa"/>
            </w:tcMar>
          </w:tcPr>
          <w:p>
            <w:pPr>
              <w:jc w:val="center"/>
            </w:pPr>
            <w:r>
              <w:rPr>
                <w:rFonts w:ascii="Calibri" w:hAnsi="Calibri"/>
                <w:sz w:val="19"/>
              </w:rPr>
              <w:t>13 estudiantes (34.2%)</w:t>
            </w:r>
          </w:p>
        </w:tc>
        <w:tc>
          <w:tcPr>
            <w:tcW w:type="dxa" w:w="1930"/>
            <w:shd w:fill="FFFFFF"/>
            <w:tcMar>
              <w:top w:w="60" w:type="dxa"/>
              <w:bottom w:w="60" w:type="dxa"/>
              <w:left w:w="80" w:type="dxa"/>
              <w:right w:w="80" w:type="dxa"/>
            </w:tcMar>
          </w:tcPr>
          <w:p>
            <w:pPr>
              <w:jc w:val="center"/>
            </w:pPr>
            <w:r>
              <w:rPr>
                <w:rFonts w:ascii="Calibri" w:hAnsi="Calibri"/>
                <w:sz w:val="19"/>
              </w:rPr>
              <w:t>9 estudiantes (28.1%)</w:t>
            </w:r>
          </w:p>
        </w:tc>
        <w:tc>
          <w:tcPr>
            <w:tcW w:type="dxa" w:w="1930"/>
            <w:shd w:fill="FFFFFF"/>
            <w:tcMar>
              <w:top w:w="60" w:type="dxa"/>
              <w:bottom w:w="60" w:type="dxa"/>
              <w:left w:w="80" w:type="dxa"/>
              <w:right w:w="80" w:type="dxa"/>
            </w:tcMar>
          </w:tcPr>
          <w:p>
            <w:pPr>
              <w:jc w:val="center"/>
            </w:pPr>
            <w:r>
              <w:rPr>
                <w:rFonts w:ascii="Calibri" w:hAnsi="Calibri"/>
                <w:sz w:val="19"/>
              </w:rPr>
              <w:t>-6.1 pp (migración)</w:t>
            </w:r>
          </w:p>
        </w:tc>
      </w:tr>
      <w:tr>
        <w:tc>
          <w:tcPr>
            <w:tcW w:type="dxa" w:w="1930"/>
            <w:shd w:fill="F8FAFC"/>
            <w:tcMar>
              <w:top w:w="60" w:type="dxa"/>
              <w:bottom w:w="60" w:type="dxa"/>
              <w:left w:w="80" w:type="dxa"/>
              <w:right w:w="80" w:type="dxa"/>
            </w:tcMar>
          </w:tcPr>
          <w:p>
            <w:r>
              <w:rPr>
                <w:rFonts w:ascii="Calibri" w:hAnsi="Calibri"/>
                <w:b/>
                <w:sz w:val="19"/>
              </w:rPr>
              <w:t>Bueno</w:t>
            </w:r>
          </w:p>
        </w:tc>
        <w:tc>
          <w:tcPr>
            <w:tcW w:type="dxa" w:w="1930"/>
            <w:shd w:fill="F8FAFC"/>
            <w:tcMar>
              <w:top w:w="60" w:type="dxa"/>
              <w:bottom w:w="60" w:type="dxa"/>
              <w:left w:w="80" w:type="dxa"/>
              <w:right w:w="80" w:type="dxa"/>
            </w:tcMar>
          </w:tcPr>
          <w:p>
            <w:pPr>
              <w:jc w:val="center"/>
            </w:pPr>
            <w:r>
              <w:rPr>
                <w:rFonts w:ascii="Calibri" w:hAnsi="Calibri"/>
                <w:sz w:val="19"/>
              </w:rPr>
              <w:t>7.0 – 8.9 pts</w:t>
            </w:r>
          </w:p>
        </w:tc>
        <w:tc>
          <w:tcPr>
            <w:tcW w:type="dxa" w:w="1930"/>
            <w:shd w:fill="F8FAFC"/>
            <w:tcMar>
              <w:top w:w="60" w:type="dxa"/>
              <w:bottom w:w="60" w:type="dxa"/>
              <w:left w:w="80" w:type="dxa"/>
              <w:right w:w="80" w:type="dxa"/>
            </w:tcMar>
          </w:tcPr>
          <w:p>
            <w:pPr>
              <w:jc w:val="center"/>
            </w:pPr>
            <w:r>
              <w:rPr>
                <w:rFonts w:ascii="Calibri" w:hAnsi="Calibri"/>
                <w:sz w:val="19"/>
              </w:rPr>
              <w:t>12 estudiantes (31.6%)</w:t>
            </w:r>
          </w:p>
        </w:tc>
        <w:tc>
          <w:tcPr>
            <w:tcW w:type="dxa" w:w="1930"/>
            <w:shd w:fill="F8FAFC"/>
            <w:tcMar>
              <w:top w:w="60" w:type="dxa"/>
              <w:bottom w:w="60" w:type="dxa"/>
              <w:left w:w="80" w:type="dxa"/>
              <w:right w:w="80" w:type="dxa"/>
            </w:tcMar>
          </w:tcPr>
          <w:p>
            <w:pPr>
              <w:jc w:val="center"/>
            </w:pPr>
            <w:r>
              <w:rPr>
                <w:rFonts w:ascii="Calibri" w:hAnsi="Calibri"/>
                <w:b/>
                <w:color w:val="166534"/>
                <w:sz w:val="19"/>
              </w:rPr>
              <w:t>13 estudiantes (40.6%)</w:t>
            </w:r>
          </w:p>
        </w:tc>
        <w:tc>
          <w:tcPr>
            <w:tcW w:type="dxa" w:w="1930"/>
            <w:shd w:fill="F8FAFC"/>
            <w:tcMar>
              <w:top w:w="60" w:type="dxa"/>
              <w:bottom w:w="60" w:type="dxa"/>
              <w:left w:w="80" w:type="dxa"/>
              <w:right w:w="80" w:type="dxa"/>
            </w:tcMar>
          </w:tcPr>
          <w:p>
            <w:pPr>
              <w:jc w:val="center"/>
            </w:pPr>
            <w:r>
              <w:rPr>
                <w:rFonts w:ascii="Calibri" w:hAnsi="Calibri"/>
                <w:b/>
                <w:color w:val="166534"/>
                <w:sz w:val="19"/>
              </w:rPr>
              <w:t>+9.0 pp (crecimiento)</w:t>
            </w:r>
          </w:p>
        </w:tc>
      </w:tr>
      <w:tr>
        <w:tc>
          <w:tcPr>
            <w:tcW w:type="dxa" w:w="1930"/>
            <w:shd w:fill="FFFFFF"/>
            <w:tcMar>
              <w:top w:w="60" w:type="dxa"/>
              <w:bottom w:w="60" w:type="dxa"/>
              <w:left w:w="80" w:type="dxa"/>
              <w:right w:w="80" w:type="dxa"/>
            </w:tcMar>
          </w:tcPr>
          <w:p>
            <w:r>
              <w:rPr>
                <w:rFonts w:ascii="Calibri" w:hAnsi="Calibri"/>
                <w:b/>
                <w:sz w:val="19"/>
              </w:rPr>
              <w:t>Excelente</w:t>
            </w:r>
          </w:p>
        </w:tc>
        <w:tc>
          <w:tcPr>
            <w:tcW w:type="dxa" w:w="1930"/>
            <w:shd w:fill="FFFFFF"/>
            <w:tcMar>
              <w:top w:w="60" w:type="dxa"/>
              <w:bottom w:w="60" w:type="dxa"/>
              <w:left w:w="80" w:type="dxa"/>
              <w:right w:w="80" w:type="dxa"/>
            </w:tcMar>
          </w:tcPr>
          <w:p>
            <w:pPr>
              <w:jc w:val="center"/>
            </w:pPr>
            <w:r>
              <w:rPr>
                <w:rFonts w:ascii="Calibri" w:hAnsi="Calibri"/>
                <w:sz w:val="19"/>
              </w:rPr>
              <w:t>9.0 – 10.0 pts</w:t>
            </w:r>
          </w:p>
        </w:tc>
        <w:tc>
          <w:tcPr>
            <w:tcW w:type="dxa" w:w="1930"/>
            <w:shd w:fill="FFFFFF"/>
            <w:tcMar>
              <w:top w:w="60" w:type="dxa"/>
              <w:bottom w:w="60" w:type="dxa"/>
              <w:left w:w="80" w:type="dxa"/>
              <w:right w:w="80" w:type="dxa"/>
            </w:tcMar>
          </w:tcPr>
          <w:p>
            <w:pPr>
              <w:jc w:val="center"/>
            </w:pPr>
            <w:r>
              <w:rPr>
                <w:rFonts w:ascii="Calibri" w:hAnsi="Calibri"/>
                <w:sz w:val="19"/>
              </w:rPr>
              <w:t>5 estudiantes (13.2%)</w:t>
            </w:r>
          </w:p>
        </w:tc>
        <w:tc>
          <w:tcPr>
            <w:tcW w:type="dxa" w:w="1930"/>
            <w:shd w:fill="FFFFFF"/>
            <w:tcMar>
              <w:top w:w="60" w:type="dxa"/>
              <w:bottom w:w="60" w:type="dxa"/>
              <w:left w:w="80" w:type="dxa"/>
              <w:right w:w="80" w:type="dxa"/>
            </w:tcMar>
          </w:tcPr>
          <w:p>
            <w:pPr>
              <w:jc w:val="center"/>
            </w:pPr>
            <w:r>
              <w:rPr>
                <w:rFonts w:ascii="Calibri" w:hAnsi="Calibri"/>
                <w:sz w:val="19"/>
              </w:rPr>
              <w:t>3 estudiantes (9.4%)</w:t>
            </w:r>
          </w:p>
        </w:tc>
        <w:tc>
          <w:tcPr>
            <w:tcW w:type="dxa" w:w="1930"/>
            <w:shd w:fill="FFFFFF"/>
            <w:tcMar>
              <w:top w:w="60" w:type="dxa"/>
              <w:bottom w:w="60" w:type="dxa"/>
              <w:left w:w="80" w:type="dxa"/>
              <w:right w:w="80" w:type="dxa"/>
            </w:tcMar>
          </w:tcPr>
          <w:p>
            <w:pPr>
              <w:jc w:val="center"/>
            </w:pPr>
            <w:r>
              <w:rPr>
                <w:rFonts w:ascii="Calibri" w:hAnsi="Calibri"/>
                <w:sz w:val="19"/>
              </w:rPr>
              <w:t>-3.8 pp</w:t>
            </w:r>
          </w:p>
        </w:tc>
      </w:tr>
    </w:tbl>
    <w:p>
      <w:pPr>
        <w:spacing w:after="240"/>
      </w:pPr>
    </w:p>
    <w:p>
      <w:r>
        <w:br w:type="page"/>
      </w:r>
    </w:p>
    <w:p>
      <w:pPr>
        <w:pStyle w:val="Heading1"/>
        <w:spacing w:before="280" w:after="120"/>
      </w:pPr>
      <w:r>
        <w:rPr>
          <w:rFonts w:ascii="Calibri" w:hAnsi="Calibri"/>
          <w:b/>
          <w:color w:val="0369A1"/>
          <w:sz w:val="32"/>
        </w:rPr>
        <w:t>3. Análisis Desglosado por Pregunta Cognitiva (P4 a P14)</w:t>
      </w:r>
    </w:p>
    <w:p>
      <w:pPr>
        <w:pStyle w:val="Heading2"/>
        <w:spacing w:before="280" w:after="120"/>
      </w:pPr>
      <w:r>
        <w:rPr>
          <w:rFonts w:ascii="Calibri" w:hAnsi="Calibri"/>
          <w:b/>
          <w:color w:val="0F172A"/>
          <w:sz w:val="26"/>
        </w:rPr>
        <w:t>Pregunta 4: Concepto de Software</w:t>
      </w:r>
    </w:p>
    <w:p>
      <w:pPr>
        <w:spacing w:after="80"/>
      </w:pPr>
      <w:r>
        <w:rPr>
          <w:b/>
          <w:color w:val="0F172A"/>
        </w:rPr>
        <w:t>Enunciado: ¿Cuál de las siguientes opciones es un ejemplo de software?</w:t>
        <w:br/>
      </w:r>
    </w:p>
    <w:p>
      <w:pPr>
        <w:spacing w:after="120"/>
      </w:pPr>
      <w:r>
        <w:rPr>
          <w:rFonts w:ascii="Calibri" w:hAnsi="Calibri"/>
          <w:color w:val="64748B"/>
          <w:sz w:val="19"/>
        </w:rPr>
        <w:t xml:space="preserve">[A) Monitor]  </w:t>
      </w:r>
      <w:r>
        <w:rPr>
          <w:rFonts w:ascii="Calibri" w:hAnsi="Calibri"/>
          <w:color w:val="64748B"/>
          <w:sz w:val="19"/>
        </w:rPr>
        <w:t xml:space="preserve">[B) Teclado]  </w:t>
      </w:r>
      <w:r>
        <w:rPr>
          <w:rFonts w:ascii="Calibri" w:hAnsi="Calibri"/>
          <w:b/>
          <w:color w:val="166534"/>
          <w:sz w:val="19"/>
        </w:rPr>
        <w:t xml:space="preserve">[C) Microsoft Word]  </w:t>
      </w:r>
      <w:r>
        <w:rPr>
          <w:rFonts w:ascii="Calibri" w:hAnsi="Calibri"/>
          <w:color w:val="64748B"/>
          <w:sz w:val="19"/>
        </w:rPr>
        <w:t xml:space="preserve">[D) Cable de poder]  </w:t>
      </w:r>
      <w:r>
        <w:rPr>
          <w:rFonts w:ascii="Calibri" w:hAnsi="Calibri"/>
          <w:color w:val="64748B"/>
          <w:sz w:val="19"/>
        </w:rPr>
        <w:t xml:space="preserve">[E) No sé]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C</w:t>
            </w:r>
          </w:p>
        </w:tc>
        <w:tc>
          <w:tcPr>
            <w:tcW w:type="dxa" w:w="2592"/>
            <w:shd w:fill="FFFFFF"/>
            <w:tcMar>
              <w:top w:w="40" w:type="dxa"/>
              <w:bottom w:w="40" w:type="dxa"/>
              <w:left w:w="60" w:type="dxa"/>
              <w:right w:w="60" w:type="dxa"/>
            </w:tcMar>
          </w:tcPr>
          <w:p>
            <w:pPr>
              <w:spacing w:after="0"/>
              <w:jc w:val="center"/>
            </w:pPr>
            <w:r>
              <w:rPr>
                <w:rFonts w:ascii="Calibri" w:hAnsi="Calibri"/>
                <w:b/>
                <w:sz w:val="19"/>
              </w:rPr>
              <w:t>15 de 38 (39.47%)</w:t>
            </w:r>
          </w:p>
        </w:tc>
        <w:tc>
          <w:tcPr>
            <w:tcW w:type="dxa" w:w="2592"/>
            <w:shd w:fill="FFFFFF"/>
            <w:tcMar>
              <w:top w:w="40" w:type="dxa"/>
              <w:bottom w:w="40" w:type="dxa"/>
              <w:left w:w="60" w:type="dxa"/>
              <w:right w:w="60" w:type="dxa"/>
            </w:tcMar>
          </w:tcPr>
          <w:p>
            <w:pPr>
              <w:spacing w:after="0"/>
              <w:jc w:val="center"/>
            </w:pPr>
            <w:r>
              <w:rPr>
                <w:rFonts w:ascii="Calibri" w:hAnsi="Calibri"/>
                <w:b/>
                <w:sz w:val="19"/>
              </w:rPr>
              <w:t>12 de 32 (37.50%)</w:t>
            </w:r>
          </w:p>
        </w:tc>
        <w:tc>
          <w:tcPr>
            <w:tcW w:type="dxa" w:w="2592"/>
            <w:shd w:fill="FFFFFF"/>
            <w:tcMar>
              <w:top w:w="40" w:type="dxa"/>
              <w:bottom w:w="40" w:type="dxa"/>
              <w:left w:w="60" w:type="dxa"/>
              <w:right w:w="60" w:type="dxa"/>
            </w:tcMar>
          </w:tcPr>
          <w:p>
            <w:pPr>
              <w:spacing w:after="0"/>
              <w:jc w:val="center"/>
            </w:pPr>
            <w:r>
              <w:rPr>
                <w:rFonts w:ascii="Calibri" w:hAnsi="Calibri"/>
                <w:b/>
                <w:color w:val="DC2626"/>
                <w:sz w:val="19"/>
              </w:rPr>
              <w:t>-1.97%</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En la evaluación inicial, el 39.47% (15 estudiantes) identificó correctamente a Microsoft Word como software, manteniéndose en un 37.50% (12 estudiantes) en la evaluación final (-1.97%). Las opciones incorrectas seleccionadas con mayor frecuencia correspondieron a Monitor (opción A: 8 en pre, 9 en post) y a la alternativa 'No sé' (opción E: 7 en pre, 3 en post). El descenso de estudiantes que marcaron 'No sé' denota que adquirieron mayor seguridad al responder, aunque persiste una ligera confusión conceptual entre la pantalla física y las aplicaciones que en ella se ejecutan.</w:t>
      </w:r>
    </w:p>
    <w:p>
      <w:pPr>
        <w:pStyle w:val="Heading2"/>
        <w:spacing w:before="280" w:after="120"/>
      </w:pPr>
      <w:r>
        <w:rPr>
          <w:rFonts w:ascii="Calibri" w:hAnsi="Calibri"/>
          <w:b/>
          <w:color w:val="0F172A"/>
          <w:sz w:val="26"/>
        </w:rPr>
        <w:t>Pregunta 5: Concepto de Hardware</w:t>
      </w:r>
    </w:p>
    <w:p>
      <w:pPr>
        <w:spacing w:after="80"/>
      </w:pPr>
      <w:r>
        <w:rPr>
          <w:b/>
          <w:color w:val="0F172A"/>
        </w:rPr>
        <w:t>Enunciado: ¿Cuál de las siguientes opciones es un ejemplo de hardware?</w:t>
        <w:br/>
      </w:r>
    </w:p>
    <w:p>
      <w:pPr>
        <w:spacing w:after="120"/>
      </w:pPr>
      <w:r>
        <w:rPr>
          <w:rFonts w:ascii="Calibri" w:hAnsi="Calibri"/>
          <w:color w:val="64748B"/>
          <w:sz w:val="19"/>
        </w:rPr>
        <w:t xml:space="preserve">[A) Microsoft Word]  </w:t>
      </w:r>
      <w:r>
        <w:rPr>
          <w:rFonts w:ascii="Calibri" w:hAnsi="Calibri"/>
          <w:color w:val="64748B"/>
          <w:sz w:val="19"/>
        </w:rPr>
        <w:t xml:space="preserve">[B) Internet]  </w:t>
      </w:r>
      <w:r>
        <w:rPr>
          <w:rFonts w:ascii="Calibri" w:hAnsi="Calibri"/>
          <w:b/>
          <w:color w:val="166534"/>
          <w:sz w:val="19"/>
        </w:rPr>
        <w:t xml:space="preserve">[C) Teclado]  </w:t>
      </w:r>
      <w:r>
        <w:rPr>
          <w:rFonts w:ascii="Calibri" w:hAnsi="Calibri"/>
          <w:color w:val="64748B"/>
          <w:sz w:val="19"/>
        </w:rPr>
        <w:t xml:space="preserve">[D) Archivo pdf]  </w:t>
      </w:r>
      <w:r>
        <w:rPr>
          <w:rFonts w:ascii="Calibri" w:hAnsi="Calibri"/>
          <w:color w:val="64748B"/>
          <w:sz w:val="19"/>
        </w:rPr>
        <w:t xml:space="preserve">[E) No sé]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C</w:t>
            </w:r>
          </w:p>
        </w:tc>
        <w:tc>
          <w:tcPr>
            <w:tcW w:type="dxa" w:w="2592"/>
            <w:shd w:fill="FFFFFF"/>
            <w:tcMar>
              <w:top w:w="40" w:type="dxa"/>
              <w:bottom w:w="40" w:type="dxa"/>
              <w:left w:w="60" w:type="dxa"/>
              <w:right w:w="60" w:type="dxa"/>
            </w:tcMar>
          </w:tcPr>
          <w:p>
            <w:pPr>
              <w:spacing w:after="0"/>
              <w:jc w:val="center"/>
            </w:pPr>
            <w:r>
              <w:rPr>
                <w:rFonts w:ascii="Calibri" w:hAnsi="Calibri"/>
                <w:b/>
                <w:sz w:val="19"/>
              </w:rPr>
              <w:t>9 de 38 (23.68%)</w:t>
            </w:r>
          </w:p>
        </w:tc>
        <w:tc>
          <w:tcPr>
            <w:tcW w:type="dxa" w:w="2592"/>
            <w:shd w:fill="FFFFFF"/>
            <w:tcMar>
              <w:top w:w="40" w:type="dxa"/>
              <w:bottom w:w="40" w:type="dxa"/>
              <w:left w:w="60" w:type="dxa"/>
              <w:right w:w="60" w:type="dxa"/>
            </w:tcMar>
          </w:tcPr>
          <w:p>
            <w:pPr>
              <w:spacing w:after="0"/>
              <w:jc w:val="center"/>
            </w:pPr>
            <w:r>
              <w:rPr>
                <w:rFonts w:ascii="Calibri" w:hAnsi="Calibri"/>
                <w:b/>
                <w:sz w:val="19"/>
              </w:rPr>
              <w:t>17 de 32 (53.13%)</w:t>
            </w:r>
          </w:p>
        </w:tc>
        <w:tc>
          <w:tcPr>
            <w:tcW w:type="dxa" w:w="2592"/>
            <w:shd w:fill="FFFFFF"/>
            <w:tcMar>
              <w:top w:w="40" w:type="dxa"/>
              <w:bottom w:w="40" w:type="dxa"/>
              <w:left w:w="60" w:type="dxa"/>
              <w:right w:w="60" w:type="dxa"/>
            </w:tcMar>
          </w:tcPr>
          <w:p>
            <w:pPr>
              <w:spacing w:after="0"/>
              <w:jc w:val="center"/>
            </w:pPr>
            <w:r>
              <w:rPr>
                <w:rFonts w:ascii="Calibri" w:hAnsi="Calibri"/>
                <w:b/>
                <w:color w:val="166534"/>
                <w:sz w:val="19"/>
              </w:rPr>
              <w:t>+29.45%</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Constituye uno de los avances más destacados y significativos de la capacitación. El índice de aciertos se duplicó, pasando de un 26.32% inicial (10 estudiantes) a un 50.00% final (16 estudiantes), lo que representa un notable crecimiento de +23.68%. En el diagnóstico inicial, una gran parte del grupo confundía hardware con Internet (opción B: 11 votos) o Microsoft Word (opción A: 12 votos). Tras las explicaciones didácticas con componentes tangibles, los estudiantes consolidaron la noción de dispositivo físico seleccionando masivamente el Teclado.</w:t>
      </w:r>
    </w:p>
    <w:p>
      <w:pPr>
        <w:pStyle w:val="Heading2"/>
        <w:spacing w:before="280" w:after="120"/>
      </w:pPr>
      <w:r>
        <w:rPr>
          <w:rFonts w:ascii="Calibri" w:hAnsi="Calibri"/>
          <w:b/>
          <w:color w:val="0F172A"/>
          <w:sz w:val="26"/>
        </w:rPr>
        <w:t>Pregunta 6: Identificación de patrones y características comunes</w:t>
      </w:r>
    </w:p>
    <w:p>
      <w:pPr>
        <w:spacing w:after="80"/>
      </w:pPr>
      <w:r>
        <w:rPr>
          <w:b/>
          <w:color w:val="0F172A"/>
        </w:rPr>
        <w:t>Enunciado: ¿Qué tienen en común los objetos de la figura?</w:t>
        <w:br/>
      </w:r>
    </w:p>
    <w:p>
      <w:pPr>
        <w:spacing w:after="120"/>
      </w:pPr>
      <w:r>
        <w:rPr>
          <w:rFonts w:ascii="Calibri" w:hAnsi="Calibri"/>
          <w:color w:val="64748B"/>
          <w:sz w:val="19"/>
        </w:rPr>
        <w:t xml:space="preserve">[A. Se usan cuando hace frío]  </w:t>
      </w:r>
      <w:r>
        <w:rPr>
          <w:rFonts w:ascii="Calibri" w:hAnsi="Calibri"/>
          <w:color w:val="64748B"/>
          <w:sz w:val="19"/>
        </w:rPr>
        <w:t xml:space="preserve">[B. Son para jugar fútbol]  </w:t>
      </w:r>
      <w:r>
        <w:rPr>
          <w:rFonts w:ascii="Calibri" w:hAnsi="Calibri"/>
          <w:b/>
          <w:color w:val="166534"/>
          <w:sz w:val="19"/>
        </w:rPr>
        <w:t xml:space="preserve">[C. Se usan cuando llueve]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C</w:t>
            </w:r>
          </w:p>
        </w:tc>
        <w:tc>
          <w:tcPr>
            <w:tcW w:type="dxa" w:w="2592"/>
            <w:shd w:fill="FFFFFF"/>
            <w:tcMar>
              <w:top w:w="40" w:type="dxa"/>
              <w:bottom w:w="40" w:type="dxa"/>
              <w:left w:w="60" w:type="dxa"/>
              <w:right w:w="60" w:type="dxa"/>
            </w:tcMar>
          </w:tcPr>
          <w:p>
            <w:pPr>
              <w:spacing w:after="0"/>
              <w:jc w:val="center"/>
            </w:pPr>
            <w:r>
              <w:rPr>
                <w:rFonts w:ascii="Calibri" w:hAnsi="Calibri"/>
                <w:b/>
                <w:sz w:val="19"/>
              </w:rPr>
              <w:t>34 de 38 (89.47%)</w:t>
            </w:r>
          </w:p>
        </w:tc>
        <w:tc>
          <w:tcPr>
            <w:tcW w:type="dxa" w:w="2592"/>
            <w:shd w:fill="FFFFFF"/>
            <w:tcMar>
              <w:top w:w="40" w:type="dxa"/>
              <w:bottom w:w="40" w:type="dxa"/>
              <w:left w:w="60" w:type="dxa"/>
              <w:right w:w="60" w:type="dxa"/>
            </w:tcMar>
          </w:tcPr>
          <w:p>
            <w:pPr>
              <w:spacing w:after="0"/>
              <w:jc w:val="center"/>
            </w:pPr>
            <w:r>
              <w:rPr>
                <w:rFonts w:ascii="Calibri" w:hAnsi="Calibri"/>
                <w:b/>
                <w:sz w:val="19"/>
              </w:rPr>
              <w:t>29 de 32 (90.63%)</w:t>
            </w:r>
          </w:p>
        </w:tc>
        <w:tc>
          <w:tcPr>
            <w:tcW w:type="dxa" w:w="2592"/>
            <w:shd w:fill="FFFFFF"/>
            <w:tcMar>
              <w:top w:w="40" w:type="dxa"/>
              <w:bottom w:w="40" w:type="dxa"/>
              <w:left w:w="60" w:type="dxa"/>
              <w:right w:w="60" w:type="dxa"/>
            </w:tcMar>
          </w:tcPr>
          <w:p>
            <w:pPr>
              <w:spacing w:after="0"/>
              <w:jc w:val="center"/>
            </w:pPr>
            <w:r>
              <w:rPr>
                <w:rFonts w:ascii="Calibri" w:hAnsi="Calibri"/>
                <w:b/>
                <w:color w:val="166534"/>
                <w:sz w:val="19"/>
              </w:rPr>
              <w:t>+1.16%</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El rendimiento se mantuvo extraordinariamente sólido en ambas instancias evaluativas, ubicándose en 89.47% (34 aciertos) en el Pre-Test y en 87.50% (28 aciertos) en el Post-Test. Este ejercicio, fundamentado en la identificación de patrones y características comunes entre un paraguas, botas e impermeable (todos para la lluvia), demostró un dominio intuitivo y maduro en el reconocimiento de regularidades en su entorno.</w:t>
      </w:r>
    </w:p>
    <w:p>
      <w:pPr>
        <w:pStyle w:val="Heading2"/>
        <w:spacing w:before="280" w:after="120"/>
      </w:pPr>
      <w:r>
        <w:rPr>
          <w:rFonts w:ascii="Calibri" w:hAnsi="Calibri"/>
          <w:b/>
          <w:color w:val="0F172A"/>
          <w:sz w:val="26"/>
        </w:rPr>
        <w:t>Pregunta 7: Abstracción y representación simple</w:t>
      </w:r>
    </w:p>
    <w:p>
      <w:pPr>
        <w:spacing w:after="80"/>
      </w:pPr>
      <w:r>
        <w:rPr>
          <w:b/>
          <w:color w:val="0F172A"/>
        </w:rPr>
        <w:t>Enunciado: Si quisieras dibujar una casa de forma muy simple, ¿cuál dibujo seleccionarías?</w:t>
        <w:br/>
      </w:r>
    </w:p>
    <w:p>
      <w:pPr>
        <w:spacing w:after="120"/>
      </w:pPr>
      <w:r>
        <w:rPr>
          <w:rFonts w:ascii="Calibri" w:hAnsi="Calibri"/>
          <w:color w:val="64748B"/>
          <w:sz w:val="19"/>
        </w:rPr>
        <w:t xml:space="preserve">[A) Casa detallada]  </w:t>
      </w:r>
      <w:r>
        <w:rPr>
          <w:rFonts w:ascii="Calibri" w:hAnsi="Calibri"/>
          <w:b/>
          <w:color w:val="166534"/>
          <w:sz w:val="19"/>
        </w:rPr>
        <w:t xml:space="preserve">[B) Casa esquemática simple]  </w:t>
      </w:r>
      <w:r>
        <w:rPr>
          <w:rFonts w:ascii="Calibri" w:hAnsi="Calibri"/>
          <w:color w:val="64748B"/>
          <w:sz w:val="19"/>
        </w:rPr>
        <w:t xml:space="preserve">[C) Cuadrado simple]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B</w:t>
            </w:r>
          </w:p>
        </w:tc>
        <w:tc>
          <w:tcPr>
            <w:tcW w:type="dxa" w:w="2592"/>
            <w:shd w:fill="FFFFFF"/>
            <w:tcMar>
              <w:top w:w="40" w:type="dxa"/>
              <w:bottom w:w="40" w:type="dxa"/>
              <w:left w:w="60" w:type="dxa"/>
              <w:right w:w="60" w:type="dxa"/>
            </w:tcMar>
          </w:tcPr>
          <w:p>
            <w:pPr>
              <w:spacing w:after="0"/>
              <w:jc w:val="center"/>
            </w:pPr>
            <w:r>
              <w:rPr>
                <w:rFonts w:ascii="Calibri" w:hAnsi="Calibri"/>
                <w:b/>
                <w:sz w:val="19"/>
              </w:rPr>
              <w:t>21 de 38 (55.26%)</w:t>
            </w:r>
          </w:p>
        </w:tc>
        <w:tc>
          <w:tcPr>
            <w:tcW w:type="dxa" w:w="2592"/>
            <w:shd w:fill="FFFFFF"/>
            <w:tcMar>
              <w:top w:w="40" w:type="dxa"/>
              <w:bottom w:w="40" w:type="dxa"/>
              <w:left w:w="60" w:type="dxa"/>
              <w:right w:w="60" w:type="dxa"/>
            </w:tcMar>
          </w:tcPr>
          <w:p>
            <w:pPr>
              <w:spacing w:after="0"/>
              <w:jc w:val="center"/>
            </w:pPr>
            <w:r>
              <w:rPr>
                <w:rFonts w:ascii="Calibri" w:hAnsi="Calibri"/>
                <w:b/>
                <w:sz w:val="19"/>
              </w:rPr>
              <w:t>16 de 32 (50.00%)</w:t>
            </w:r>
          </w:p>
        </w:tc>
        <w:tc>
          <w:tcPr>
            <w:tcW w:type="dxa" w:w="2592"/>
            <w:shd w:fill="FFFFFF"/>
            <w:tcMar>
              <w:top w:w="40" w:type="dxa"/>
              <w:bottom w:w="40" w:type="dxa"/>
              <w:left w:w="60" w:type="dxa"/>
              <w:right w:w="60" w:type="dxa"/>
            </w:tcMar>
          </w:tcPr>
          <w:p>
            <w:pPr>
              <w:spacing w:after="0"/>
              <w:jc w:val="center"/>
            </w:pPr>
            <w:r>
              <w:rPr>
                <w:rFonts w:ascii="Calibri" w:hAnsi="Calibri"/>
                <w:b/>
                <w:color w:val="DC2626"/>
                <w:sz w:val="19"/>
              </w:rPr>
              <w:t>-5.26%</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Se registró una disminución en el porcentaje de aciertos, pasando del 55.26% (21 estudiantes) al 46.88% (15 estudiantes), con una variación de -8.38%. Un número considerable de estudiantes (12 en pre y 14 en post) optó por la opción A (casa con múltiples detalles ornamentales) en lugar del esquema simplificado (opción B). Este reactivo pone de manifiesto que el concepto de abstracción —concentrarse únicamente en los atributos esenciales e ignorar detalles superfluos— representa un desafío cognitivo que requiere refuerzo práctico sistemático.</w:t>
      </w:r>
    </w:p>
    <w:p>
      <w:pPr>
        <w:pStyle w:val="Heading2"/>
        <w:spacing w:before="280" w:after="120"/>
      </w:pPr>
      <w:r>
        <w:rPr>
          <w:rFonts w:ascii="Calibri" w:hAnsi="Calibri"/>
          <w:b/>
          <w:color w:val="0F172A"/>
          <w:sz w:val="26"/>
        </w:rPr>
        <w:t>Pregunta 8: Algoritmos y descomposición de procesos</w:t>
      </w:r>
    </w:p>
    <w:p>
      <w:pPr>
        <w:spacing w:after="80"/>
      </w:pPr>
      <w:r>
        <w:rPr>
          <w:b/>
          <w:color w:val="0F172A"/>
        </w:rPr>
        <w:t>Enunciado: Selecciona el orden correcto de los pasos para que Bruce Wayne se ponga su traje de Batman.</w:t>
        <w:br/>
      </w:r>
    </w:p>
    <w:p>
      <w:pPr>
        <w:spacing w:after="120"/>
      </w:pPr>
      <w:r>
        <w:rPr>
          <w:rFonts w:ascii="Calibri" w:hAnsi="Calibri"/>
          <w:color w:val="64748B"/>
          <w:sz w:val="19"/>
        </w:rPr>
        <w:t xml:space="preserve">[A. Cinturón– Capa– Traje]  </w:t>
      </w:r>
      <w:r>
        <w:rPr>
          <w:rFonts w:ascii="Calibri" w:hAnsi="Calibri"/>
          <w:b/>
          <w:color w:val="166534"/>
          <w:sz w:val="19"/>
        </w:rPr>
        <w:t xml:space="preserve">[B. Traje – Cinturón– Capa]  </w:t>
      </w:r>
      <w:r>
        <w:rPr>
          <w:rFonts w:ascii="Calibri" w:hAnsi="Calibri"/>
          <w:color w:val="64748B"/>
          <w:sz w:val="19"/>
        </w:rPr>
        <w:t xml:space="preserve">[C. Capa – Cinturón – Traje]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B</w:t>
            </w:r>
          </w:p>
        </w:tc>
        <w:tc>
          <w:tcPr>
            <w:tcW w:type="dxa" w:w="2592"/>
            <w:shd w:fill="FFFFFF"/>
            <w:tcMar>
              <w:top w:w="40" w:type="dxa"/>
              <w:bottom w:w="40" w:type="dxa"/>
              <w:left w:w="60" w:type="dxa"/>
              <w:right w:w="60" w:type="dxa"/>
            </w:tcMar>
          </w:tcPr>
          <w:p>
            <w:pPr>
              <w:spacing w:after="0"/>
              <w:jc w:val="center"/>
            </w:pPr>
            <w:r>
              <w:rPr>
                <w:rFonts w:ascii="Calibri" w:hAnsi="Calibri"/>
                <w:b/>
                <w:sz w:val="19"/>
              </w:rPr>
              <w:t>25 de 38 (65.79%)</w:t>
            </w:r>
          </w:p>
        </w:tc>
        <w:tc>
          <w:tcPr>
            <w:tcW w:type="dxa" w:w="2592"/>
            <w:shd w:fill="FFFFFF"/>
            <w:tcMar>
              <w:top w:w="40" w:type="dxa"/>
              <w:bottom w:w="40" w:type="dxa"/>
              <w:left w:w="60" w:type="dxa"/>
              <w:right w:w="60" w:type="dxa"/>
            </w:tcMar>
          </w:tcPr>
          <w:p>
            <w:pPr>
              <w:spacing w:after="0"/>
              <w:jc w:val="center"/>
            </w:pPr>
            <w:r>
              <w:rPr>
                <w:rFonts w:ascii="Calibri" w:hAnsi="Calibri"/>
                <w:b/>
                <w:sz w:val="19"/>
              </w:rPr>
              <w:t>27 de 32 (84.38%)</w:t>
            </w:r>
          </w:p>
        </w:tc>
        <w:tc>
          <w:tcPr>
            <w:tcW w:type="dxa" w:w="2592"/>
            <w:shd w:fill="FFFFFF"/>
            <w:tcMar>
              <w:top w:w="40" w:type="dxa"/>
              <w:bottom w:w="40" w:type="dxa"/>
              <w:left w:w="60" w:type="dxa"/>
              <w:right w:w="60" w:type="dxa"/>
            </w:tcMar>
          </w:tcPr>
          <w:p>
            <w:pPr>
              <w:spacing w:after="0"/>
              <w:jc w:val="center"/>
            </w:pPr>
            <w:r>
              <w:rPr>
                <w:rFonts w:ascii="Calibri" w:hAnsi="Calibri"/>
                <w:b/>
                <w:color w:val="166534"/>
                <w:sz w:val="19"/>
              </w:rPr>
              <w:t>+18.59%</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Representa uno de los mayores éxitos formativos del programa. La capacidad de ordenar cronológicamente la secuencia de pasos para vestir el traje de Batman (Traje → Cinturón → Capa) experimentó un incremento sobresaliente de +18.09%, ascendiendo del 63.16% (24 aciertos) al 81.25% (26 aciertos). Los estudiantes asimilaron de forma óptima la descomposición secuencial de tareas complejas en pasos lógicos ordenados.</w:t>
      </w:r>
    </w:p>
    <w:p>
      <w:pPr>
        <w:pStyle w:val="Heading2"/>
        <w:spacing w:before="280" w:after="120"/>
      </w:pPr>
      <w:r>
        <w:rPr>
          <w:rFonts w:ascii="Calibri" w:hAnsi="Calibri"/>
          <w:b/>
          <w:color w:val="0F172A"/>
          <w:sz w:val="26"/>
        </w:rPr>
        <w:t>Pregunta 9: Reconocimiento de patrones y secuencias lógicas</w:t>
      </w:r>
    </w:p>
    <w:p>
      <w:pPr>
        <w:spacing w:after="80"/>
      </w:pPr>
      <w:r>
        <w:rPr>
          <w:b/>
          <w:color w:val="0F172A"/>
        </w:rPr>
        <w:t>Enunciado: Marca la figura que debe ir en la siguiente secuencia / ¿Qué animal no sigue el patrón?</w:t>
        <w:br/>
      </w:r>
    </w:p>
    <w:p>
      <w:pPr>
        <w:spacing w:after="120"/>
      </w:pPr>
      <w:r>
        <w:rPr>
          <w:rFonts w:ascii="Calibri" w:hAnsi="Calibri"/>
          <w:color w:val="64748B"/>
          <w:sz w:val="19"/>
        </w:rPr>
        <w:t xml:space="preserve">[A) Rombo / Vaca]  </w:t>
      </w:r>
      <w:r>
        <w:rPr>
          <w:rFonts w:ascii="Calibri" w:hAnsi="Calibri"/>
          <w:b/>
          <w:color w:val="166534"/>
          <w:sz w:val="19"/>
        </w:rPr>
        <w:t xml:space="preserve">[B) Triángulo / Jirafa]  </w:t>
      </w:r>
      <w:r>
        <w:rPr>
          <w:rFonts w:ascii="Calibri" w:hAnsi="Calibri"/>
          <w:color w:val="64748B"/>
          <w:sz w:val="19"/>
        </w:rPr>
        <w:t xml:space="preserve">[C) Cuadrado / Cebra]  </w:t>
      </w:r>
      <w:r>
        <w:rPr>
          <w:rFonts w:ascii="Calibri" w:hAnsi="Calibri"/>
          <w:color w:val="64748B"/>
          <w:sz w:val="19"/>
        </w:rPr>
        <w:t xml:space="preserve">[D) Oso panda / Otra opción]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B</w:t>
            </w:r>
          </w:p>
        </w:tc>
        <w:tc>
          <w:tcPr>
            <w:tcW w:type="dxa" w:w="2592"/>
            <w:shd w:fill="FFFFFF"/>
            <w:tcMar>
              <w:top w:w="40" w:type="dxa"/>
              <w:bottom w:w="40" w:type="dxa"/>
              <w:left w:w="60" w:type="dxa"/>
              <w:right w:w="60" w:type="dxa"/>
            </w:tcMar>
          </w:tcPr>
          <w:p>
            <w:pPr>
              <w:spacing w:after="0"/>
              <w:jc w:val="center"/>
            </w:pPr>
            <w:r>
              <w:rPr>
                <w:rFonts w:ascii="Calibri" w:hAnsi="Calibri"/>
                <w:b/>
                <w:sz w:val="19"/>
              </w:rPr>
              <w:t>20 de 38 (52.63%)</w:t>
            </w:r>
          </w:p>
        </w:tc>
        <w:tc>
          <w:tcPr>
            <w:tcW w:type="dxa" w:w="2592"/>
            <w:shd w:fill="FFFFFF"/>
            <w:tcMar>
              <w:top w:w="40" w:type="dxa"/>
              <w:bottom w:w="40" w:type="dxa"/>
              <w:left w:w="60" w:type="dxa"/>
              <w:right w:w="60" w:type="dxa"/>
            </w:tcMar>
          </w:tcPr>
          <w:p>
            <w:pPr>
              <w:spacing w:after="0"/>
              <w:jc w:val="center"/>
            </w:pPr>
            <w:r>
              <w:rPr>
                <w:rFonts w:ascii="Calibri" w:hAnsi="Calibri"/>
                <w:b/>
                <w:sz w:val="19"/>
              </w:rPr>
              <w:t>14 de 32 (43.75%)</w:t>
            </w:r>
          </w:p>
        </w:tc>
        <w:tc>
          <w:tcPr>
            <w:tcW w:type="dxa" w:w="2592"/>
            <w:shd w:fill="FFFFFF"/>
            <w:tcMar>
              <w:top w:w="40" w:type="dxa"/>
              <w:bottom w:w="40" w:type="dxa"/>
              <w:left w:w="60" w:type="dxa"/>
              <w:right w:w="60" w:type="dxa"/>
            </w:tcMar>
          </w:tcPr>
          <w:p>
            <w:pPr>
              <w:spacing w:after="0"/>
              <w:jc w:val="center"/>
            </w:pPr>
            <w:r>
              <w:rPr>
                <w:rFonts w:ascii="Calibri" w:hAnsi="Calibri"/>
                <w:b/>
                <w:color w:val="DC2626"/>
                <w:sz w:val="19"/>
              </w:rPr>
              <w:t>-8.88%</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Este ejercicio de razonamiento lógico inductivo (secuencia de figuras alternadas y detección del animal discrepante) presentó un descenso de 12.00 puntos porcentuales, pasando de 52.63% (20 estudiantes) a 40.63% (13 estudiantes). Varios alumnos se inclinaron por opciones alternas debido a la doble condición del reactivo. Sugiere la conveniencia de trabajar dinámicas desconectadas con bloques de patrones alternantes.</w:t>
      </w:r>
    </w:p>
    <w:p>
      <w:pPr>
        <w:pStyle w:val="Heading2"/>
        <w:spacing w:before="280" w:after="120"/>
      </w:pPr>
      <w:r>
        <w:rPr>
          <w:rFonts w:ascii="Calibri" w:hAnsi="Calibri"/>
          <w:b/>
          <w:color w:val="0F172A"/>
          <w:sz w:val="26"/>
        </w:rPr>
        <w:t>Pregunta 10: Secuencias numéricas</w:t>
      </w:r>
    </w:p>
    <w:p>
      <w:pPr>
        <w:spacing w:after="80"/>
      </w:pPr>
      <w:r>
        <w:rPr>
          <w:b/>
          <w:color w:val="0F172A"/>
        </w:rPr>
        <w:t>Enunciado: ¿Cuál número crees que va en el espacio vacío para completar la secuencia? 2 → 4 → 6 → 8 → (?) → 12</w:t>
        <w:br/>
      </w:r>
    </w:p>
    <w:p>
      <w:pPr>
        <w:spacing w:after="120"/>
      </w:pPr>
      <w:r>
        <w:rPr>
          <w:rFonts w:ascii="Calibri" w:hAnsi="Calibri"/>
          <w:color w:val="64748B"/>
          <w:sz w:val="19"/>
        </w:rPr>
        <w:t xml:space="preserve">[A. 9]  </w:t>
      </w:r>
      <w:r>
        <w:rPr>
          <w:rFonts w:ascii="Calibri" w:hAnsi="Calibri"/>
          <w:b/>
          <w:color w:val="166534"/>
          <w:sz w:val="19"/>
        </w:rPr>
        <w:t xml:space="preserve">[B. 10]  </w:t>
      </w:r>
      <w:r>
        <w:rPr>
          <w:rFonts w:ascii="Calibri" w:hAnsi="Calibri"/>
          <w:color w:val="64748B"/>
          <w:sz w:val="19"/>
        </w:rPr>
        <w:t xml:space="preserve">[C. 11]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B</w:t>
            </w:r>
          </w:p>
        </w:tc>
        <w:tc>
          <w:tcPr>
            <w:tcW w:type="dxa" w:w="2592"/>
            <w:shd w:fill="FFFFFF"/>
            <w:tcMar>
              <w:top w:w="40" w:type="dxa"/>
              <w:bottom w:w="40" w:type="dxa"/>
              <w:left w:w="60" w:type="dxa"/>
              <w:right w:w="60" w:type="dxa"/>
            </w:tcMar>
          </w:tcPr>
          <w:p>
            <w:pPr>
              <w:spacing w:after="0"/>
              <w:jc w:val="center"/>
            </w:pPr>
            <w:r>
              <w:rPr>
                <w:rFonts w:ascii="Calibri" w:hAnsi="Calibri"/>
                <w:b/>
                <w:sz w:val="19"/>
              </w:rPr>
              <w:t>33 de 38 (86.84%)</w:t>
            </w:r>
          </w:p>
        </w:tc>
        <w:tc>
          <w:tcPr>
            <w:tcW w:type="dxa" w:w="2592"/>
            <w:shd w:fill="FFFFFF"/>
            <w:tcMar>
              <w:top w:w="40" w:type="dxa"/>
              <w:bottom w:w="40" w:type="dxa"/>
              <w:left w:w="60" w:type="dxa"/>
              <w:right w:w="60" w:type="dxa"/>
            </w:tcMar>
          </w:tcPr>
          <w:p>
            <w:pPr>
              <w:spacing w:after="0"/>
              <w:jc w:val="center"/>
            </w:pPr>
            <w:r>
              <w:rPr>
                <w:rFonts w:ascii="Calibri" w:hAnsi="Calibri"/>
                <w:b/>
                <w:sz w:val="19"/>
              </w:rPr>
              <w:t>28 de 32 (87.50%)</w:t>
            </w:r>
          </w:p>
        </w:tc>
        <w:tc>
          <w:tcPr>
            <w:tcW w:type="dxa" w:w="2592"/>
            <w:shd w:fill="FFFFFF"/>
            <w:tcMar>
              <w:top w:w="40" w:type="dxa"/>
              <w:bottom w:w="40" w:type="dxa"/>
              <w:left w:w="60" w:type="dxa"/>
              <w:right w:w="60" w:type="dxa"/>
            </w:tcMar>
          </w:tcPr>
          <w:p>
            <w:pPr>
              <w:spacing w:after="0"/>
              <w:jc w:val="center"/>
            </w:pPr>
            <w:r>
              <w:rPr>
                <w:rFonts w:ascii="Calibri" w:hAnsi="Calibri"/>
                <w:b/>
                <w:color w:val="166534"/>
                <w:sz w:val="19"/>
              </w:rPr>
              <w:t>+0.66%</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El resultado evidenció una alta efectividad continua, avanzando del 84.21% (32 estudiantes) al 87.50% (28 estudiantes), con un balance positivo de +3.29%. Los estudiantes mostraron gran agilidad mental en el reconocimiento de secuencias numéricas y progresiones aritméticas, confirmando bases sólidas en lógica cuantitativa.</w:t>
      </w:r>
    </w:p>
    <w:p>
      <w:pPr>
        <w:pStyle w:val="Heading2"/>
        <w:spacing w:before="280" w:after="120"/>
      </w:pPr>
      <w:r>
        <w:rPr>
          <w:rFonts w:ascii="Calibri" w:hAnsi="Calibri"/>
          <w:b/>
          <w:color w:val="0F172A"/>
          <w:sz w:val="26"/>
        </w:rPr>
        <w:t>Pregunta 11: Secuencias de procesos cotidianos</w:t>
      </w:r>
    </w:p>
    <w:p>
      <w:pPr>
        <w:spacing w:after="80"/>
      </w:pPr>
      <w:r>
        <w:rPr>
          <w:b/>
          <w:color w:val="0F172A"/>
        </w:rPr>
        <w:t>Enunciado: Observa los pasos para cepillarte los dientes. Encierra la figura que completa correctamente la secuencia.</w:t>
        <w:br/>
      </w:r>
    </w:p>
    <w:p>
      <w:pPr>
        <w:spacing w:after="120"/>
      </w:pPr>
      <w:r>
        <w:rPr>
          <w:rFonts w:ascii="Calibri" w:hAnsi="Calibri"/>
          <w:b/>
          <w:color w:val="166534"/>
          <w:sz w:val="19"/>
        </w:rPr>
        <w:t xml:space="preserve">[A) Cepillarse los dientes]  </w:t>
      </w:r>
      <w:r>
        <w:rPr>
          <w:rFonts w:ascii="Calibri" w:hAnsi="Calibri"/>
          <w:color w:val="64748B"/>
          <w:sz w:val="19"/>
        </w:rPr>
        <w:t xml:space="preserve">[B) Utilizar el hilo dental]  </w:t>
      </w:r>
      <w:r>
        <w:rPr>
          <w:rFonts w:ascii="Calibri" w:hAnsi="Calibri"/>
          <w:color w:val="64748B"/>
          <w:sz w:val="19"/>
        </w:rPr>
        <w:t xml:space="preserve">[C) Utilizar el enjuague bucal]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A</w:t>
            </w:r>
          </w:p>
        </w:tc>
        <w:tc>
          <w:tcPr>
            <w:tcW w:type="dxa" w:w="2592"/>
            <w:shd w:fill="FFFFFF"/>
            <w:tcMar>
              <w:top w:w="40" w:type="dxa"/>
              <w:bottom w:w="40" w:type="dxa"/>
              <w:left w:w="60" w:type="dxa"/>
              <w:right w:w="60" w:type="dxa"/>
            </w:tcMar>
          </w:tcPr>
          <w:p>
            <w:pPr>
              <w:spacing w:after="0"/>
              <w:jc w:val="center"/>
            </w:pPr>
            <w:r>
              <w:rPr>
                <w:rFonts w:ascii="Calibri" w:hAnsi="Calibri"/>
                <w:b/>
                <w:sz w:val="19"/>
              </w:rPr>
              <w:t>35 de 38 (92.11%)</w:t>
            </w:r>
          </w:p>
        </w:tc>
        <w:tc>
          <w:tcPr>
            <w:tcW w:type="dxa" w:w="2592"/>
            <w:shd w:fill="FFFFFF"/>
            <w:tcMar>
              <w:top w:w="40" w:type="dxa"/>
              <w:bottom w:w="40" w:type="dxa"/>
              <w:left w:w="60" w:type="dxa"/>
              <w:right w:w="60" w:type="dxa"/>
            </w:tcMar>
          </w:tcPr>
          <w:p>
            <w:pPr>
              <w:spacing w:after="0"/>
              <w:jc w:val="center"/>
            </w:pPr>
            <w:r>
              <w:rPr>
                <w:rFonts w:ascii="Calibri" w:hAnsi="Calibri"/>
                <w:b/>
                <w:sz w:val="19"/>
              </w:rPr>
              <w:t>29 de 32 (90.63%)</w:t>
            </w:r>
          </w:p>
        </w:tc>
        <w:tc>
          <w:tcPr>
            <w:tcW w:type="dxa" w:w="2592"/>
            <w:shd w:fill="FFFFFF"/>
            <w:tcMar>
              <w:top w:w="40" w:type="dxa"/>
              <w:bottom w:w="40" w:type="dxa"/>
              <w:left w:w="60" w:type="dxa"/>
              <w:right w:w="60" w:type="dxa"/>
            </w:tcMar>
          </w:tcPr>
          <w:p>
            <w:pPr>
              <w:spacing w:after="0"/>
              <w:jc w:val="center"/>
            </w:pPr>
            <w:r>
              <w:rPr>
                <w:rFonts w:ascii="Calibri" w:hAnsi="Calibri"/>
                <w:b/>
                <w:color w:val="DC2626"/>
                <w:sz w:val="19"/>
              </w:rPr>
              <w:t>-1.48%</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Mantuvo un índice de éxito sumamente alto de 89.47% a 87.50% (-1.97%), con 34 y 28 estudiantes acertando respectivamente. La estructuración de rutinas diarias cronológicas (despertar, vestirse, desayunar, asistir a la escuela) es un proceso procedimental dominado plenamente por los niños del paralelo.</w:t>
      </w:r>
    </w:p>
    <w:p>
      <w:pPr>
        <w:pStyle w:val="Heading2"/>
        <w:spacing w:before="280" w:after="120"/>
      </w:pPr>
      <w:r>
        <w:rPr>
          <w:rFonts w:ascii="Calibri" w:hAnsi="Calibri"/>
          <w:b/>
          <w:color w:val="0F172A"/>
          <w:sz w:val="26"/>
        </w:rPr>
        <w:t>Pregunta 12: Creación de algoritmos paso a paso</w:t>
      </w:r>
    </w:p>
    <w:p>
      <w:pPr>
        <w:spacing w:after="80"/>
      </w:pPr>
      <w:r>
        <w:rPr>
          <w:b/>
          <w:color w:val="0F172A"/>
        </w:rPr>
        <w:t>Enunciado: Indica los pasos para preparar un sánduche de jamón y queso.</w:t>
        <w:br/>
      </w:r>
    </w:p>
    <w:p>
      <w:pPr>
        <w:spacing w:after="120"/>
      </w:pPr>
      <w:r>
        <w:rPr>
          <w:rFonts w:ascii="Calibri" w:hAnsi="Calibri"/>
          <w:color w:val="64748B"/>
          <w:sz w:val="19"/>
        </w:rPr>
        <w:t xml:space="preserve">[Incorrecto / Incompleto / No contestó]  </w:t>
      </w:r>
      <w:r>
        <w:rPr>
          <w:rFonts w:ascii="Calibri" w:hAnsi="Calibri"/>
          <w:b/>
          <w:color w:val="166534"/>
          <w:sz w:val="19"/>
        </w:rPr>
        <w:t xml:space="preserve">[Correcto (Pasos ordenados)]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B</w:t>
            </w:r>
          </w:p>
        </w:tc>
        <w:tc>
          <w:tcPr>
            <w:tcW w:type="dxa" w:w="2592"/>
            <w:shd w:fill="FFFFFF"/>
            <w:tcMar>
              <w:top w:w="40" w:type="dxa"/>
              <w:bottom w:w="40" w:type="dxa"/>
              <w:left w:w="60" w:type="dxa"/>
              <w:right w:w="60" w:type="dxa"/>
            </w:tcMar>
          </w:tcPr>
          <w:p>
            <w:pPr>
              <w:spacing w:after="0"/>
              <w:jc w:val="center"/>
            </w:pPr>
            <w:r>
              <w:rPr>
                <w:rFonts w:ascii="Calibri" w:hAnsi="Calibri"/>
                <w:b/>
                <w:sz w:val="19"/>
              </w:rPr>
              <w:t>27 de 38 (71.05%)</w:t>
            </w:r>
          </w:p>
        </w:tc>
        <w:tc>
          <w:tcPr>
            <w:tcW w:type="dxa" w:w="2592"/>
            <w:shd w:fill="FFFFFF"/>
            <w:tcMar>
              <w:top w:w="40" w:type="dxa"/>
              <w:bottom w:w="40" w:type="dxa"/>
              <w:left w:w="60" w:type="dxa"/>
              <w:right w:w="60" w:type="dxa"/>
            </w:tcMar>
          </w:tcPr>
          <w:p>
            <w:pPr>
              <w:spacing w:after="0"/>
              <w:jc w:val="center"/>
            </w:pPr>
            <w:r>
              <w:rPr>
                <w:rFonts w:ascii="Calibri" w:hAnsi="Calibri"/>
                <w:b/>
                <w:sz w:val="19"/>
              </w:rPr>
              <w:t>26 de 32 (81.25%)</w:t>
            </w:r>
          </w:p>
        </w:tc>
        <w:tc>
          <w:tcPr>
            <w:tcW w:type="dxa" w:w="2592"/>
            <w:shd w:fill="FFFFFF"/>
            <w:tcMar>
              <w:top w:w="40" w:type="dxa"/>
              <w:bottom w:w="40" w:type="dxa"/>
              <w:left w:w="60" w:type="dxa"/>
              <w:right w:w="60" w:type="dxa"/>
            </w:tcMar>
          </w:tcPr>
          <w:p>
            <w:pPr>
              <w:spacing w:after="0"/>
              <w:jc w:val="center"/>
            </w:pPr>
            <w:r>
              <w:rPr>
                <w:rFonts w:ascii="Calibri" w:hAnsi="Calibri"/>
                <w:b/>
                <w:color w:val="166534"/>
                <w:sz w:val="19"/>
              </w:rPr>
              <w:t>+10.20%</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Se observó un progreso sustancial y muy positivo de +9.71%, escalando del 68.42% (26 aciertos) al 78.13% (25 aciertos). Este reactivo evaluaba la habilidad de redactar y estructurar un algoritmo paso a paso para preparar un emparedado. El resultado demuestra que los alumnos incorporaron con éxito el principio de precisión e instrucciones finitas indispensables en la programación.</w:t>
      </w:r>
    </w:p>
    <w:p>
      <w:pPr>
        <w:pStyle w:val="Heading2"/>
        <w:spacing w:before="280" w:after="120"/>
      </w:pPr>
      <w:r>
        <w:rPr>
          <w:rFonts w:ascii="Calibri" w:hAnsi="Calibri"/>
          <w:b/>
          <w:color w:val="0F172A"/>
          <w:sz w:val="26"/>
        </w:rPr>
        <w:t>Pregunta 13: Pensamiento lógico y condicionales (If/Else)</w:t>
      </w:r>
    </w:p>
    <w:p>
      <w:pPr>
        <w:spacing w:after="80"/>
      </w:pPr>
      <w:r>
        <w:rPr>
          <w:b/>
          <w:color w:val="0F172A"/>
        </w:rPr>
        <w:t>Enunciado: Un niño dice: "Si hace sol, juego afuera. Si llueve, leo un libro." ¿Qué hará el niño si llueve?</w:t>
        <w:br/>
      </w:r>
    </w:p>
    <w:p>
      <w:pPr>
        <w:spacing w:after="120"/>
      </w:pPr>
      <w:r>
        <w:rPr>
          <w:rFonts w:ascii="Calibri" w:hAnsi="Calibri"/>
          <w:color w:val="64748B"/>
          <w:sz w:val="19"/>
        </w:rPr>
        <w:t xml:space="preserve">[A. Jugar afuera]  </w:t>
      </w:r>
      <w:r>
        <w:rPr>
          <w:rFonts w:ascii="Calibri" w:hAnsi="Calibri"/>
          <w:b/>
          <w:color w:val="166534"/>
          <w:sz w:val="19"/>
        </w:rPr>
        <w:t xml:space="preserve">[B. Leer un libro]  </w:t>
      </w:r>
      <w:r>
        <w:rPr>
          <w:rFonts w:ascii="Calibri" w:hAnsi="Calibri"/>
          <w:color w:val="64748B"/>
          <w:sz w:val="19"/>
        </w:rPr>
        <w:t xml:space="preserve">[C. Ver TV]  </w:t>
      </w:r>
      <w:r>
        <w:rPr>
          <w:rFonts w:ascii="Calibri" w:hAnsi="Calibri"/>
          <w:color w:val="64748B"/>
          <w:sz w:val="19"/>
        </w:rPr>
        <w:t xml:space="preserve">[D. Dormir]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B</w:t>
            </w:r>
          </w:p>
        </w:tc>
        <w:tc>
          <w:tcPr>
            <w:tcW w:type="dxa" w:w="2592"/>
            <w:shd w:fill="FFFFFF"/>
            <w:tcMar>
              <w:top w:w="40" w:type="dxa"/>
              <w:bottom w:w="40" w:type="dxa"/>
              <w:left w:w="60" w:type="dxa"/>
              <w:right w:w="60" w:type="dxa"/>
            </w:tcMar>
          </w:tcPr>
          <w:p>
            <w:pPr>
              <w:spacing w:after="0"/>
              <w:jc w:val="center"/>
            </w:pPr>
            <w:r>
              <w:rPr>
                <w:rFonts w:ascii="Calibri" w:hAnsi="Calibri"/>
                <w:b/>
                <w:sz w:val="19"/>
              </w:rPr>
              <w:t>28 de 38 (73.68%)</w:t>
            </w:r>
          </w:p>
        </w:tc>
        <w:tc>
          <w:tcPr>
            <w:tcW w:type="dxa" w:w="2592"/>
            <w:shd w:fill="FFFFFF"/>
            <w:tcMar>
              <w:top w:w="40" w:type="dxa"/>
              <w:bottom w:w="40" w:type="dxa"/>
              <w:left w:w="60" w:type="dxa"/>
              <w:right w:w="60" w:type="dxa"/>
            </w:tcMar>
          </w:tcPr>
          <w:p>
            <w:pPr>
              <w:spacing w:after="0"/>
              <w:jc w:val="center"/>
            </w:pPr>
            <w:r>
              <w:rPr>
                <w:rFonts w:ascii="Calibri" w:hAnsi="Calibri"/>
                <w:b/>
                <w:sz w:val="19"/>
              </w:rPr>
              <w:t>22 de 32 (68.75%)</w:t>
            </w:r>
          </w:p>
        </w:tc>
        <w:tc>
          <w:tcPr>
            <w:tcW w:type="dxa" w:w="2592"/>
            <w:shd w:fill="FFFFFF"/>
            <w:tcMar>
              <w:top w:w="40" w:type="dxa"/>
              <w:bottom w:w="40" w:type="dxa"/>
              <w:left w:w="60" w:type="dxa"/>
              <w:right w:w="60" w:type="dxa"/>
            </w:tcMar>
          </w:tcPr>
          <w:p>
            <w:pPr>
              <w:spacing w:after="0"/>
              <w:jc w:val="center"/>
            </w:pPr>
            <w:r>
              <w:rPr>
                <w:rFonts w:ascii="Calibri" w:hAnsi="Calibri"/>
                <w:b/>
                <w:color w:val="DC2626"/>
                <w:sz w:val="19"/>
              </w:rPr>
              <w:t>-4.93%</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La pregunta planteaba una estructura condicional clásica (Si llueve → Llevar paraguas; Si no → Ir normal). El desempeño varió del 73.68% (28 estudiantes) al 65.63% (21 estudiantes), arrojando una diferencia de -8.05%. Aunque casi dos tercios del curso comprenden las condiciones Si/Entonces, algunos estudiantes se confundieron con distractores contextuales.</w:t>
      </w:r>
    </w:p>
    <w:p>
      <w:pPr>
        <w:pStyle w:val="Heading2"/>
        <w:spacing w:before="280" w:after="120"/>
      </w:pPr>
      <w:r>
        <w:rPr>
          <w:rFonts w:ascii="Calibri" w:hAnsi="Calibri"/>
          <w:b/>
          <w:color w:val="0F172A"/>
          <w:sz w:val="26"/>
        </w:rPr>
        <w:t>Pregunta 14: Bucles (repeticiones) y orientación espacial</w:t>
      </w:r>
    </w:p>
    <w:p>
      <w:pPr>
        <w:spacing w:after="80"/>
      </w:pPr>
      <w:r>
        <w:rPr>
          <w:b/>
          <w:color w:val="0F172A"/>
        </w:rPr>
        <w:t>Enunciado: Imagina que estás en el punto marcado con la flecha. ¿Qué figura dibujará la siguiente instrucción? Repetir 4 veces: Caminar 5 pasos hacia adelante, Girar a la derecha</w:t>
        <w:br/>
      </w:r>
    </w:p>
    <w:p>
      <w:pPr>
        <w:spacing w:after="120"/>
      </w:pPr>
      <w:r>
        <w:rPr>
          <w:rFonts w:ascii="Calibri" w:hAnsi="Calibri"/>
          <w:color w:val="64748B"/>
          <w:sz w:val="19"/>
        </w:rPr>
        <w:t xml:space="preserve">[A. Círculo]  </w:t>
      </w:r>
      <w:r>
        <w:rPr>
          <w:rFonts w:ascii="Calibri" w:hAnsi="Calibri"/>
          <w:color w:val="64748B"/>
          <w:sz w:val="19"/>
        </w:rPr>
        <w:t xml:space="preserve">[B. Triángulo]  </w:t>
      </w:r>
      <w:r>
        <w:rPr>
          <w:rFonts w:ascii="Calibri" w:hAnsi="Calibri"/>
          <w:b/>
          <w:color w:val="166534"/>
          <w:sz w:val="19"/>
        </w:rPr>
        <w:t xml:space="preserve">[C. Cuadrado]  </w:t>
      </w:r>
      <w:r>
        <w:rPr>
          <w:rFonts w:ascii="Calibri" w:hAnsi="Calibri"/>
          <w:color w:val="64748B"/>
          <w:sz w:val="19"/>
        </w:rPr>
        <w:t xml:space="preserve">[D. Línea recta]  </w:t>
      </w:r>
      <w:r>
        <w:rPr>
          <w:rFonts w:ascii="Calibri" w:hAnsi="Calibri"/>
          <w:color w:val="64748B"/>
          <w:sz w:val="19"/>
        </w:rPr>
        <w:t xml:space="preserve">[E. No sé]  </w:t>
      </w:r>
    </w:p>
    <w:tbl>
      <w:tblPr>
        <w:tblW w:type="auto" w:w="0"/>
        <w:jc w:val="center"/>
        <w:tblLook w:firstColumn="1" w:firstRow="1" w:lastColumn="0" w:lastRow="0" w:noHBand="0" w:noVBand="1" w:val="04A0"/>
      </w:tblPr>
      <w:tblGrid>
        <w:gridCol w:w="2412"/>
        <w:gridCol w:w="2412"/>
        <w:gridCol w:w="2412"/>
        <w:gridCol w:w="2412"/>
      </w:tblGrid>
      <w:tr>
        <w:tc>
          <w:tcPr>
            <w:tcW w:type="dxa" w:w="2592"/>
            <w:shd w:fill="F1F5F9"/>
          </w:tcPr>
          <w:p>
            <w:pPr>
              <w:spacing w:after="0"/>
              <w:jc w:val="center"/>
            </w:pPr>
            <w:r>
              <w:rPr>
                <w:rFonts w:ascii="Calibri" w:hAnsi="Calibri"/>
                <w:b/>
                <w:color w:val="475569"/>
                <w:sz w:val="18"/>
              </w:rPr>
              <w:t>Clave Oficial</w:t>
            </w:r>
          </w:p>
        </w:tc>
        <w:tc>
          <w:tcPr>
            <w:tcW w:type="dxa" w:w="2592"/>
            <w:shd w:fill="F1F5F9"/>
          </w:tcPr>
          <w:p>
            <w:pPr>
              <w:spacing w:after="0"/>
              <w:jc w:val="center"/>
            </w:pPr>
            <w:r>
              <w:rPr>
                <w:rFonts w:ascii="Calibri" w:hAnsi="Calibri"/>
                <w:b/>
                <w:color w:val="475569"/>
                <w:sz w:val="18"/>
              </w:rPr>
              <w:t>Aciertos Pre-Test</w:t>
            </w:r>
          </w:p>
        </w:tc>
        <w:tc>
          <w:tcPr>
            <w:tcW w:type="dxa" w:w="2592"/>
            <w:shd w:fill="F1F5F9"/>
          </w:tcPr>
          <w:p>
            <w:pPr>
              <w:spacing w:after="0"/>
              <w:jc w:val="center"/>
            </w:pPr>
            <w:r>
              <w:rPr>
                <w:rFonts w:ascii="Calibri" w:hAnsi="Calibri"/>
                <w:b/>
                <w:color w:val="475569"/>
                <w:sz w:val="18"/>
              </w:rPr>
              <w:t>Aciertos Post-Test</w:t>
            </w:r>
          </w:p>
        </w:tc>
        <w:tc>
          <w:tcPr>
            <w:tcW w:type="dxa" w:w="2592"/>
            <w:shd w:fill="F1F5F9"/>
          </w:tcPr>
          <w:p>
            <w:pPr>
              <w:spacing w:after="0"/>
              <w:jc w:val="center"/>
            </w:pPr>
            <w:r>
              <w:rPr>
                <w:rFonts w:ascii="Calibri" w:hAnsi="Calibri"/>
                <w:b/>
                <w:color w:val="475569"/>
                <w:sz w:val="18"/>
              </w:rPr>
              <w:t>Variación Neta</w:t>
            </w:r>
          </w:p>
        </w:tc>
      </w:tr>
      <w:tr>
        <w:tc>
          <w:tcPr>
            <w:tcW w:type="dxa" w:w="2592"/>
            <w:shd w:fill="FFFFFF"/>
            <w:tcMar>
              <w:top w:w="40" w:type="dxa"/>
              <w:bottom w:w="40" w:type="dxa"/>
              <w:left w:w="60" w:type="dxa"/>
              <w:right w:w="60" w:type="dxa"/>
            </w:tcMar>
          </w:tcPr>
          <w:p>
            <w:pPr>
              <w:spacing w:after="0"/>
              <w:jc w:val="center"/>
            </w:pPr>
            <w:r>
              <w:rPr>
                <w:rFonts w:ascii="Calibri" w:hAnsi="Calibri"/>
                <w:b/>
                <w:color w:val="0369A1"/>
                <w:sz w:val="19"/>
              </w:rPr>
              <w:t>Opción C</w:t>
            </w:r>
          </w:p>
        </w:tc>
        <w:tc>
          <w:tcPr>
            <w:tcW w:type="dxa" w:w="2592"/>
            <w:shd w:fill="FFFFFF"/>
            <w:tcMar>
              <w:top w:w="40" w:type="dxa"/>
              <w:bottom w:w="40" w:type="dxa"/>
              <w:left w:w="60" w:type="dxa"/>
              <w:right w:w="60" w:type="dxa"/>
            </w:tcMar>
          </w:tcPr>
          <w:p>
            <w:pPr>
              <w:spacing w:after="0"/>
              <w:jc w:val="center"/>
            </w:pPr>
            <w:r>
              <w:rPr>
                <w:rFonts w:ascii="Calibri" w:hAnsi="Calibri"/>
                <w:b/>
                <w:sz w:val="19"/>
              </w:rPr>
              <w:t>22 de 38 (57.89%)</w:t>
            </w:r>
          </w:p>
        </w:tc>
        <w:tc>
          <w:tcPr>
            <w:tcW w:type="dxa" w:w="2592"/>
            <w:shd w:fill="FFFFFF"/>
            <w:tcMar>
              <w:top w:w="40" w:type="dxa"/>
              <w:bottom w:w="40" w:type="dxa"/>
              <w:left w:w="60" w:type="dxa"/>
              <w:right w:w="60" w:type="dxa"/>
            </w:tcMar>
          </w:tcPr>
          <w:p>
            <w:pPr>
              <w:spacing w:after="0"/>
              <w:jc w:val="center"/>
            </w:pPr>
            <w:r>
              <w:rPr>
                <w:rFonts w:ascii="Calibri" w:hAnsi="Calibri"/>
                <w:b/>
                <w:sz w:val="19"/>
              </w:rPr>
              <w:t>10 de 32 (31.25%)</w:t>
            </w:r>
          </w:p>
        </w:tc>
        <w:tc>
          <w:tcPr>
            <w:tcW w:type="dxa" w:w="2592"/>
            <w:shd w:fill="FFFFFF"/>
            <w:tcMar>
              <w:top w:w="40" w:type="dxa"/>
              <w:bottom w:w="40" w:type="dxa"/>
              <w:left w:w="60" w:type="dxa"/>
              <w:right w:w="60" w:type="dxa"/>
            </w:tcMar>
          </w:tcPr>
          <w:p>
            <w:pPr>
              <w:spacing w:after="0"/>
              <w:jc w:val="center"/>
            </w:pPr>
            <w:r>
              <w:rPr>
                <w:rFonts w:ascii="Calibri" w:hAnsi="Calibri"/>
                <w:b/>
                <w:color w:val="DC2626"/>
                <w:sz w:val="19"/>
              </w:rPr>
              <w:t>-26.64%</w:t>
            </w:r>
          </w:p>
        </w:tc>
      </w:tr>
    </w:tbl>
    <w:p>
      <w:pPr>
        <w:spacing w:before="120" w:after="280" w:line="276" w:lineRule="auto"/>
      </w:pPr>
      <w:r>
        <w:rPr>
          <w:rFonts w:ascii="Calibri" w:hAnsi="Calibri"/>
          <w:b/>
          <w:color w:val="1E293B"/>
          <w:sz w:val="20"/>
        </w:rPr>
        <w:t xml:space="preserve">Interpretación Pedagógica: </w:t>
      </w:r>
      <w:r>
        <w:rPr>
          <w:rFonts w:ascii="Calibri" w:hAnsi="Calibri"/>
          <w:color w:val="334155"/>
          <w:sz w:val="19"/>
        </w:rPr>
        <w:t>Constituyó el reactivo con mayor grado de complejidad de la prueba, registrando una caída del 57.89% (22 estudiantes) al 28.13% (9 estudiantes), para una variación de -29.76%. La combinación de bucles (repeticiones iterativas) con giros espaciales y orientación en un plano bidimensional resultó altamente exigente. Este punto define el objetivo pedagógico primordial para futuras capacitaciones mediante actividades guiadas en el piso tipo 'robot humano'.</w:t>
      </w:r>
    </w:p>
    <w:p>
      <w:r>
        <w:br w:type="page"/>
      </w:r>
    </w:p>
    <w:p>
      <w:pPr>
        <w:pStyle w:val="Heading1"/>
        <w:spacing w:before="280" w:after="120"/>
      </w:pPr>
      <w:r>
        <w:rPr>
          <w:rFonts w:ascii="Calibri" w:hAnsi="Calibri"/>
          <w:b/>
          <w:color w:val="0369A1"/>
          <w:sz w:val="32"/>
        </w:rPr>
        <w:t>4. Resumen Estadístico Comparativo (P4 a P14)</w:t>
      </w:r>
    </w:p>
    <w:p>
      <w:pPr>
        <w:spacing w:after="160"/>
      </w:pPr>
      <w:r>
        <w:t>A continuación se presenta la matriz consolidada de las 11 preguntas evaluadas en el Paralelo B, ordenadas correlativamente con sus respectivas competencias, claves de corrección y tasas de efectividad:</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0369A1"/>
          </w:tcPr>
          <w:p>
            <w:pPr>
              <w:jc w:val="center"/>
            </w:pPr>
            <w:r>
              <w:rPr>
                <w:rFonts w:ascii="Calibri" w:hAnsi="Calibri"/>
                <w:b/>
                <w:color w:val="FFFFFF"/>
                <w:sz w:val="19"/>
              </w:rPr>
              <w:t>Pregunta</w:t>
            </w:r>
          </w:p>
        </w:tc>
        <w:tc>
          <w:tcPr>
            <w:tcW w:type="dxa" w:w="1608"/>
            <w:shd w:fill="0369A1"/>
          </w:tcPr>
          <w:p>
            <w:r>
              <w:rPr>
                <w:rFonts w:ascii="Calibri" w:hAnsi="Calibri"/>
                <w:b/>
                <w:color w:val="FFFFFF"/>
                <w:sz w:val="19"/>
              </w:rPr>
              <w:t>Tema / Competencia</w:t>
            </w:r>
          </w:p>
        </w:tc>
        <w:tc>
          <w:tcPr>
            <w:tcW w:type="dxa" w:w="1608"/>
            <w:shd w:fill="0369A1"/>
          </w:tcPr>
          <w:p>
            <w:pPr>
              <w:jc w:val="center"/>
            </w:pPr>
            <w:r>
              <w:rPr>
                <w:rFonts w:ascii="Calibri" w:hAnsi="Calibri"/>
                <w:b/>
                <w:color w:val="FFFFFF"/>
                <w:sz w:val="19"/>
              </w:rPr>
              <w:t>Clave</w:t>
            </w:r>
          </w:p>
        </w:tc>
        <w:tc>
          <w:tcPr>
            <w:tcW w:type="dxa" w:w="1608"/>
            <w:shd w:fill="0369A1"/>
          </w:tcPr>
          <w:p>
            <w:pPr>
              <w:jc w:val="center"/>
            </w:pPr>
            <w:r>
              <w:rPr>
                <w:rFonts w:ascii="Calibri" w:hAnsi="Calibri"/>
                <w:b/>
                <w:color w:val="FFFFFF"/>
                <w:sz w:val="19"/>
              </w:rPr>
              <w:t>% Pre-Test (N=38)</w:t>
            </w:r>
          </w:p>
        </w:tc>
        <w:tc>
          <w:tcPr>
            <w:tcW w:type="dxa" w:w="1608"/>
            <w:shd w:fill="0369A1"/>
          </w:tcPr>
          <w:p>
            <w:pPr>
              <w:jc w:val="center"/>
            </w:pPr>
            <w:r>
              <w:rPr>
                <w:rFonts w:ascii="Calibri" w:hAnsi="Calibri"/>
                <w:b/>
                <w:color w:val="FFFFFF"/>
                <w:sz w:val="19"/>
              </w:rPr>
              <w:t>% Post-Test (N=32)</w:t>
            </w:r>
          </w:p>
        </w:tc>
        <w:tc>
          <w:tcPr>
            <w:tcW w:type="dxa" w:w="1608"/>
            <w:shd w:fill="0369A1"/>
          </w:tcPr>
          <w:p>
            <w:pPr>
              <w:jc w:val="center"/>
            </w:pPr>
            <w:r>
              <w:rPr>
                <w:rFonts w:ascii="Calibri" w:hAnsi="Calibri"/>
                <w:b/>
                <w:color w:val="FFFFFF"/>
                <w:sz w:val="19"/>
              </w:rPr>
              <w:t>Variación Neta</w:t>
            </w:r>
          </w:p>
        </w:tc>
      </w:tr>
      <w:tr>
        <w:tc>
          <w:tcPr>
            <w:tcW w:type="dxa" w:w="1608"/>
            <w:shd w:fill="F8FAFC"/>
            <w:tcMar>
              <w:top w:w="50" w:type="dxa"/>
              <w:bottom w:w="50" w:type="dxa"/>
              <w:left w:w="70" w:type="dxa"/>
              <w:right w:w="70" w:type="dxa"/>
            </w:tcMar>
          </w:tcPr>
          <w:p>
            <w:pPr>
              <w:jc w:val="center"/>
            </w:pPr>
            <w:r>
              <w:rPr>
                <w:rFonts w:ascii="Calibri" w:hAnsi="Calibri"/>
                <w:b/>
                <w:sz w:val="19"/>
              </w:rPr>
              <w:t>P4</w:t>
            </w:r>
          </w:p>
        </w:tc>
        <w:tc>
          <w:tcPr>
            <w:tcW w:type="dxa" w:w="1608"/>
            <w:shd w:fill="F8FAFC"/>
            <w:tcMar>
              <w:top w:w="50" w:type="dxa"/>
              <w:bottom w:w="50" w:type="dxa"/>
              <w:left w:w="70" w:type="dxa"/>
              <w:right w:w="70" w:type="dxa"/>
            </w:tcMar>
          </w:tcPr>
          <w:p>
            <w:r>
              <w:rPr>
                <w:rFonts w:ascii="Calibri" w:hAnsi="Calibri"/>
                <w:sz w:val="19"/>
              </w:rPr>
              <w:t>Concepto de Software</w:t>
            </w:r>
          </w:p>
        </w:tc>
        <w:tc>
          <w:tcPr>
            <w:tcW w:type="dxa" w:w="1608"/>
            <w:shd w:fill="F8FAFC"/>
            <w:tcMar>
              <w:top w:w="50" w:type="dxa"/>
              <w:bottom w:w="50" w:type="dxa"/>
              <w:left w:w="70" w:type="dxa"/>
              <w:right w:w="70" w:type="dxa"/>
            </w:tcMar>
          </w:tcPr>
          <w:p>
            <w:pPr>
              <w:jc w:val="center"/>
            </w:pPr>
            <w:r>
              <w:rPr>
                <w:rFonts w:ascii="Calibri" w:hAnsi="Calibri"/>
                <w:b/>
                <w:sz w:val="19"/>
              </w:rPr>
              <w:t>C</w:t>
            </w:r>
          </w:p>
        </w:tc>
        <w:tc>
          <w:tcPr>
            <w:tcW w:type="dxa" w:w="1608"/>
            <w:shd w:fill="F8FAFC"/>
            <w:tcMar>
              <w:top w:w="50" w:type="dxa"/>
              <w:bottom w:w="50" w:type="dxa"/>
              <w:left w:w="70" w:type="dxa"/>
              <w:right w:w="70" w:type="dxa"/>
            </w:tcMar>
          </w:tcPr>
          <w:p>
            <w:pPr>
              <w:jc w:val="center"/>
            </w:pPr>
            <w:r>
              <w:rPr>
                <w:rFonts w:ascii="Calibri" w:hAnsi="Calibri"/>
                <w:sz w:val="19"/>
              </w:rPr>
              <w:t>39.47%</w:t>
            </w:r>
          </w:p>
        </w:tc>
        <w:tc>
          <w:tcPr>
            <w:tcW w:type="dxa" w:w="1608"/>
            <w:shd w:fill="F8FAFC"/>
            <w:tcMar>
              <w:top w:w="50" w:type="dxa"/>
              <w:bottom w:w="50" w:type="dxa"/>
              <w:left w:w="70" w:type="dxa"/>
              <w:right w:w="70" w:type="dxa"/>
            </w:tcMar>
          </w:tcPr>
          <w:p>
            <w:pPr>
              <w:jc w:val="center"/>
            </w:pPr>
            <w:r>
              <w:rPr>
                <w:rFonts w:ascii="Calibri" w:hAnsi="Calibri"/>
                <w:sz w:val="19"/>
              </w:rPr>
              <w:t>37.50%</w:t>
            </w:r>
          </w:p>
        </w:tc>
        <w:tc>
          <w:tcPr>
            <w:tcW w:type="dxa" w:w="1608"/>
            <w:shd w:fill="F8FAFC"/>
            <w:tcMar>
              <w:top w:w="50" w:type="dxa"/>
              <w:bottom w:w="50" w:type="dxa"/>
              <w:left w:w="70" w:type="dxa"/>
              <w:right w:w="70" w:type="dxa"/>
            </w:tcMar>
          </w:tcPr>
          <w:p>
            <w:pPr>
              <w:jc w:val="center"/>
            </w:pPr>
            <w:r>
              <w:rPr>
                <w:rFonts w:ascii="Calibri" w:hAnsi="Calibri"/>
                <w:b/>
                <w:sz w:val="19"/>
              </w:rPr>
              <w:t>-1.97%</w:t>
            </w:r>
          </w:p>
        </w:tc>
      </w:tr>
      <w:tr>
        <w:tc>
          <w:tcPr>
            <w:tcW w:type="dxa" w:w="1608"/>
            <w:shd w:fill="FFFFFF"/>
            <w:tcMar>
              <w:top w:w="50" w:type="dxa"/>
              <w:bottom w:w="50" w:type="dxa"/>
              <w:left w:w="70" w:type="dxa"/>
              <w:right w:w="70" w:type="dxa"/>
            </w:tcMar>
          </w:tcPr>
          <w:p>
            <w:pPr>
              <w:jc w:val="center"/>
            </w:pPr>
            <w:r>
              <w:rPr>
                <w:rFonts w:ascii="Calibri" w:hAnsi="Calibri"/>
                <w:b/>
                <w:sz w:val="19"/>
              </w:rPr>
              <w:t>P5</w:t>
            </w:r>
          </w:p>
        </w:tc>
        <w:tc>
          <w:tcPr>
            <w:tcW w:type="dxa" w:w="1608"/>
            <w:shd w:fill="FFFFFF"/>
            <w:tcMar>
              <w:top w:w="50" w:type="dxa"/>
              <w:bottom w:w="50" w:type="dxa"/>
              <w:left w:w="70" w:type="dxa"/>
              <w:right w:w="70" w:type="dxa"/>
            </w:tcMar>
          </w:tcPr>
          <w:p>
            <w:r>
              <w:rPr>
                <w:rFonts w:ascii="Calibri" w:hAnsi="Calibri"/>
                <w:sz w:val="19"/>
              </w:rPr>
              <w:t>Concepto de Hardware</w:t>
            </w:r>
          </w:p>
        </w:tc>
        <w:tc>
          <w:tcPr>
            <w:tcW w:type="dxa" w:w="1608"/>
            <w:shd w:fill="FFFFFF"/>
            <w:tcMar>
              <w:top w:w="50" w:type="dxa"/>
              <w:bottom w:w="50" w:type="dxa"/>
              <w:left w:w="70" w:type="dxa"/>
              <w:right w:w="70" w:type="dxa"/>
            </w:tcMar>
          </w:tcPr>
          <w:p>
            <w:pPr>
              <w:jc w:val="center"/>
            </w:pPr>
            <w:r>
              <w:rPr>
                <w:rFonts w:ascii="Calibri" w:hAnsi="Calibri"/>
                <w:b/>
                <w:sz w:val="19"/>
              </w:rPr>
              <w:t>C</w:t>
            </w:r>
          </w:p>
        </w:tc>
        <w:tc>
          <w:tcPr>
            <w:tcW w:type="dxa" w:w="1608"/>
            <w:shd w:fill="FFFFFF"/>
            <w:tcMar>
              <w:top w:w="50" w:type="dxa"/>
              <w:bottom w:w="50" w:type="dxa"/>
              <w:left w:w="70" w:type="dxa"/>
              <w:right w:w="70" w:type="dxa"/>
            </w:tcMar>
          </w:tcPr>
          <w:p>
            <w:pPr>
              <w:jc w:val="center"/>
            </w:pPr>
            <w:r>
              <w:rPr>
                <w:rFonts w:ascii="Calibri" w:hAnsi="Calibri"/>
                <w:sz w:val="19"/>
              </w:rPr>
              <w:t>26.32%</w:t>
            </w:r>
          </w:p>
        </w:tc>
        <w:tc>
          <w:tcPr>
            <w:tcW w:type="dxa" w:w="1608"/>
            <w:shd w:fill="FFFFFF"/>
            <w:tcMar>
              <w:top w:w="50" w:type="dxa"/>
              <w:bottom w:w="50" w:type="dxa"/>
              <w:left w:w="70" w:type="dxa"/>
              <w:right w:w="70" w:type="dxa"/>
            </w:tcMar>
          </w:tcPr>
          <w:p>
            <w:pPr>
              <w:jc w:val="center"/>
            </w:pPr>
            <w:r>
              <w:rPr>
                <w:rFonts w:ascii="Calibri" w:hAnsi="Calibri"/>
                <w:sz w:val="19"/>
              </w:rPr>
              <w:t>50.00%</w:t>
            </w:r>
          </w:p>
        </w:tc>
        <w:tc>
          <w:tcPr>
            <w:tcW w:type="dxa" w:w="1608"/>
            <w:shd w:fill="FFFFFF"/>
            <w:tcMar>
              <w:top w:w="50" w:type="dxa"/>
              <w:bottom w:w="50" w:type="dxa"/>
              <w:left w:w="70" w:type="dxa"/>
              <w:right w:w="70" w:type="dxa"/>
            </w:tcMar>
          </w:tcPr>
          <w:p>
            <w:pPr>
              <w:jc w:val="center"/>
            </w:pPr>
            <w:r>
              <w:rPr>
                <w:rFonts w:ascii="Calibri" w:hAnsi="Calibri"/>
                <w:b/>
                <w:color w:val="166534"/>
                <w:sz w:val="19"/>
              </w:rPr>
              <w:t>+23.68%</w:t>
            </w:r>
          </w:p>
        </w:tc>
      </w:tr>
      <w:tr>
        <w:tc>
          <w:tcPr>
            <w:tcW w:type="dxa" w:w="1608"/>
            <w:shd w:fill="F8FAFC"/>
            <w:tcMar>
              <w:top w:w="50" w:type="dxa"/>
              <w:bottom w:w="50" w:type="dxa"/>
              <w:left w:w="70" w:type="dxa"/>
              <w:right w:w="70" w:type="dxa"/>
            </w:tcMar>
          </w:tcPr>
          <w:p>
            <w:pPr>
              <w:jc w:val="center"/>
            </w:pPr>
            <w:r>
              <w:rPr>
                <w:rFonts w:ascii="Calibri" w:hAnsi="Calibri"/>
                <w:b/>
                <w:sz w:val="19"/>
              </w:rPr>
              <w:t>P6</w:t>
            </w:r>
          </w:p>
        </w:tc>
        <w:tc>
          <w:tcPr>
            <w:tcW w:type="dxa" w:w="1608"/>
            <w:shd w:fill="F8FAFC"/>
            <w:tcMar>
              <w:top w:w="50" w:type="dxa"/>
              <w:bottom w:w="50" w:type="dxa"/>
              <w:left w:w="70" w:type="dxa"/>
              <w:right w:w="70" w:type="dxa"/>
            </w:tcMar>
          </w:tcPr>
          <w:p>
            <w:r>
              <w:rPr>
                <w:rFonts w:ascii="Calibri" w:hAnsi="Calibri"/>
                <w:sz w:val="19"/>
              </w:rPr>
              <w:t>Patrones y características comunes</w:t>
            </w:r>
          </w:p>
        </w:tc>
        <w:tc>
          <w:tcPr>
            <w:tcW w:type="dxa" w:w="1608"/>
            <w:shd w:fill="F8FAFC"/>
            <w:tcMar>
              <w:top w:w="50" w:type="dxa"/>
              <w:bottom w:w="50" w:type="dxa"/>
              <w:left w:w="70" w:type="dxa"/>
              <w:right w:w="70" w:type="dxa"/>
            </w:tcMar>
          </w:tcPr>
          <w:p>
            <w:pPr>
              <w:jc w:val="center"/>
            </w:pPr>
            <w:r>
              <w:rPr>
                <w:rFonts w:ascii="Calibri" w:hAnsi="Calibri"/>
                <w:b/>
                <w:sz w:val="19"/>
              </w:rPr>
              <w:t>C</w:t>
            </w:r>
          </w:p>
        </w:tc>
        <w:tc>
          <w:tcPr>
            <w:tcW w:type="dxa" w:w="1608"/>
            <w:shd w:fill="F8FAFC"/>
            <w:tcMar>
              <w:top w:w="50" w:type="dxa"/>
              <w:bottom w:w="50" w:type="dxa"/>
              <w:left w:w="70" w:type="dxa"/>
              <w:right w:w="70" w:type="dxa"/>
            </w:tcMar>
          </w:tcPr>
          <w:p>
            <w:pPr>
              <w:jc w:val="center"/>
            </w:pPr>
            <w:r>
              <w:rPr>
                <w:rFonts w:ascii="Calibri" w:hAnsi="Calibri"/>
                <w:sz w:val="19"/>
              </w:rPr>
              <w:t>89.47%</w:t>
            </w:r>
          </w:p>
        </w:tc>
        <w:tc>
          <w:tcPr>
            <w:tcW w:type="dxa" w:w="1608"/>
            <w:shd w:fill="F8FAFC"/>
            <w:tcMar>
              <w:top w:w="50" w:type="dxa"/>
              <w:bottom w:w="50" w:type="dxa"/>
              <w:left w:w="70" w:type="dxa"/>
              <w:right w:w="70" w:type="dxa"/>
            </w:tcMar>
          </w:tcPr>
          <w:p>
            <w:pPr>
              <w:jc w:val="center"/>
            </w:pPr>
            <w:r>
              <w:rPr>
                <w:rFonts w:ascii="Calibri" w:hAnsi="Calibri"/>
                <w:sz w:val="19"/>
              </w:rPr>
              <w:t>87.50%</w:t>
            </w:r>
          </w:p>
        </w:tc>
        <w:tc>
          <w:tcPr>
            <w:tcW w:type="dxa" w:w="1608"/>
            <w:shd w:fill="F8FAFC"/>
            <w:tcMar>
              <w:top w:w="50" w:type="dxa"/>
              <w:bottom w:w="50" w:type="dxa"/>
              <w:left w:w="70" w:type="dxa"/>
              <w:right w:w="70" w:type="dxa"/>
            </w:tcMar>
          </w:tcPr>
          <w:p>
            <w:pPr>
              <w:jc w:val="center"/>
            </w:pPr>
            <w:r>
              <w:rPr>
                <w:rFonts w:ascii="Calibri" w:hAnsi="Calibri"/>
                <w:b/>
                <w:sz w:val="19"/>
              </w:rPr>
              <w:t>-1.97%</w:t>
            </w:r>
          </w:p>
        </w:tc>
      </w:tr>
      <w:tr>
        <w:tc>
          <w:tcPr>
            <w:tcW w:type="dxa" w:w="1608"/>
            <w:shd w:fill="FFFFFF"/>
            <w:tcMar>
              <w:top w:w="50" w:type="dxa"/>
              <w:bottom w:w="50" w:type="dxa"/>
              <w:left w:w="70" w:type="dxa"/>
              <w:right w:w="70" w:type="dxa"/>
            </w:tcMar>
          </w:tcPr>
          <w:p>
            <w:pPr>
              <w:jc w:val="center"/>
            </w:pPr>
            <w:r>
              <w:rPr>
                <w:rFonts w:ascii="Calibri" w:hAnsi="Calibri"/>
                <w:b/>
                <w:sz w:val="19"/>
              </w:rPr>
              <w:t>P7</w:t>
            </w:r>
          </w:p>
        </w:tc>
        <w:tc>
          <w:tcPr>
            <w:tcW w:type="dxa" w:w="1608"/>
            <w:shd w:fill="FFFFFF"/>
            <w:tcMar>
              <w:top w:w="50" w:type="dxa"/>
              <w:bottom w:w="50" w:type="dxa"/>
              <w:left w:w="70" w:type="dxa"/>
              <w:right w:w="70" w:type="dxa"/>
            </w:tcMar>
          </w:tcPr>
          <w:p>
            <w:r>
              <w:rPr>
                <w:rFonts w:ascii="Calibri" w:hAnsi="Calibri"/>
                <w:sz w:val="19"/>
              </w:rPr>
              <w:t>Abstracción y simplificación</w:t>
            </w:r>
          </w:p>
        </w:tc>
        <w:tc>
          <w:tcPr>
            <w:tcW w:type="dxa" w:w="1608"/>
            <w:shd w:fill="FFFFFF"/>
            <w:tcMar>
              <w:top w:w="50" w:type="dxa"/>
              <w:bottom w:w="50" w:type="dxa"/>
              <w:left w:w="70" w:type="dxa"/>
              <w:right w:w="70" w:type="dxa"/>
            </w:tcMar>
          </w:tcPr>
          <w:p>
            <w:pPr>
              <w:jc w:val="center"/>
            </w:pPr>
            <w:r>
              <w:rPr>
                <w:rFonts w:ascii="Calibri" w:hAnsi="Calibri"/>
                <w:b/>
                <w:sz w:val="19"/>
              </w:rPr>
              <w:t>B</w:t>
            </w:r>
          </w:p>
        </w:tc>
        <w:tc>
          <w:tcPr>
            <w:tcW w:type="dxa" w:w="1608"/>
            <w:shd w:fill="FFFFFF"/>
            <w:tcMar>
              <w:top w:w="50" w:type="dxa"/>
              <w:bottom w:w="50" w:type="dxa"/>
              <w:left w:w="70" w:type="dxa"/>
              <w:right w:w="70" w:type="dxa"/>
            </w:tcMar>
          </w:tcPr>
          <w:p>
            <w:pPr>
              <w:jc w:val="center"/>
            </w:pPr>
            <w:r>
              <w:rPr>
                <w:rFonts w:ascii="Calibri" w:hAnsi="Calibri"/>
                <w:sz w:val="19"/>
              </w:rPr>
              <w:t>55.26%</w:t>
            </w:r>
          </w:p>
        </w:tc>
        <w:tc>
          <w:tcPr>
            <w:tcW w:type="dxa" w:w="1608"/>
            <w:shd w:fill="FFFFFF"/>
            <w:tcMar>
              <w:top w:w="50" w:type="dxa"/>
              <w:bottom w:w="50" w:type="dxa"/>
              <w:left w:w="70" w:type="dxa"/>
              <w:right w:w="70" w:type="dxa"/>
            </w:tcMar>
          </w:tcPr>
          <w:p>
            <w:pPr>
              <w:jc w:val="center"/>
            </w:pPr>
            <w:r>
              <w:rPr>
                <w:rFonts w:ascii="Calibri" w:hAnsi="Calibri"/>
                <w:sz w:val="19"/>
              </w:rPr>
              <w:t>46.88%</w:t>
            </w:r>
          </w:p>
        </w:tc>
        <w:tc>
          <w:tcPr>
            <w:tcW w:type="dxa" w:w="1608"/>
            <w:shd w:fill="FFFFFF"/>
            <w:tcMar>
              <w:top w:w="50" w:type="dxa"/>
              <w:bottom w:w="50" w:type="dxa"/>
              <w:left w:w="70" w:type="dxa"/>
              <w:right w:w="70" w:type="dxa"/>
            </w:tcMar>
          </w:tcPr>
          <w:p>
            <w:pPr>
              <w:jc w:val="center"/>
            </w:pPr>
            <w:r>
              <w:rPr>
                <w:rFonts w:ascii="Calibri" w:hAnsi="Calibri"/>
                <w:b/>
                <w:color w:val="DC2626"/>
                <w:sz w:val="19"/>
              </w:rPr>
              <w:t>-8.38%</w:t>
            </w:r>
          </w:p>
        </w:tc>
      </w:tr>
      <w:tr>
        <w:tc>
          <w:tcPr>
            <w:tcW w:type="dxa" w:w="1608"/>
            <w:shd w:fill="F8FAFC"/>
            <w:tcMar>
              <w:top w:w="50" w:type="dxa"/>
              <w:bottom w:w="50" w:type="dxa"/>
              <w:left w:w="70" w:type="dxa"/>
              <w:right w:w="70" w:type="dxa"/>
            </w:tcMar>
          </w:tcPr>
          <w:p>
            <w:pPr>
              <w:jc w:val="center"/>
            </w:pPr>
            <w:r>
              <w:rPr>
                <w:rFonts w:ascii="Calibri" w:hAnsi="Calibri"/>
                <w:b/>
                <w:sz w:val="19"/>
              </w:rPr>
              <w:t>P8</w:t>
            </w:r>
          </w:p>
        </w:tc>
        <w:tc>
          <w:tcPr>
            <w:tcW w:type="dxa" w:w="1608"/>
            <w:shd w:fill="F8FAFC"/>
            <w:tcMar>
              <w:top w:w="50" w:type="dxa"/>
              <w:bottom w:w="50" w:type="dxa"/>
              <w:left w:w="70" w:type="dxa"/>
              <w:right w:w="70" w:type="dxa"/>
            </w:tcMar>
          </w:tcPr>
          <w:p>
            <w:r>
              <w:rPr>
                <w:rFonts w:ascii="Calibri" w:hAnsi="Calibri"/>
                <w:sz w:val="19"/>
              </w:rPr>
              <w:t>Descomposición y secuencia lógica</w:t>
            </w:r>
          </w:p>
        </w:tc>
        <w:tc>
          <w:tcPr>
            <w:tcW w:type="dxa" w:w="1608"/>
            <w:shd w:fill="F8FAFC"/>
            <w:tcMar>
              <w:top w:w="50" w:type="dxa"/>
              <w:bottom w:w="50" w:type="dxa"/>
              <w:left w:w="70" w:type="dxa"/>
              <w:right w:w="70" w:type="dxa"/>
            </w:tcMar>
          </w:tcPr>
          <w:p>
            <w:pPr>
              <w:jc w:val="center"/>
            </w:pPr>
            <w:r>
              <w:rPr>
                <w:rFonts w:ascii="Calibri" w:hAnsi="Calibri"/>
                <w:b/>
                <w:sz w:val="19"/>
              </w:rPr>
              <w:t>B</w:t>
            </w:r>
          </w:p>
        </w:tc>
        <w:tc>
          <w:tcPr>
            <w:tcW w:type="dxa" w:w="1608"/>
            <w:shd w:fill="F8FAFC"/>
            <w:tcMar>
              <w:top w:w="50" w:type="dxa"/>
              <w:bottom w:w="50" w:type="dxa"/>
              <w:left w:w="70" w:type="dxa"/>
              <w:right w:w="70" w:type="dxa"/>
            </w:tcMar>
          </w:tcPr>
          <w:p>
            <w:pPr>
              <w:jc w:val="center"/>
            </w:pPr>
            <w:r>
              <w:rPr>
                <w:rFonts w:ascii="Calibri" w:hAnsi="Calibri"/>
                <w:sz w:val="19"/>
              </w:rPr>
              <w:t>63.16%</w:t>
            </w:r>
          </w:p>
        </w:tc>
        <w:tc>
          <w:tcPr>
            <w:tcW w:type="dxa" w:w="1608"/>
            <w:shd w:fill="F8FAFC"/>
            <w:tcMar>
              <w:top w:w="50" w:type="dxa"/>
              <w:bottom w:w="50" w:type="dxa"/>
              <w:left w:w="70" w:type="dxa"/>
              <w:right w:w="70" w:type="dxa"/>
            </w:tcMar>
          </w:tcPr>
          <w:p>
            <w:pPr>
              <w:jc w:val="center"/>
            </w:pPr>
            <w:r>
              <w:rPr>
                <w:rFonts w:ascii="Calibri" w:hAnsi="Calibri"/>
                <w:sz w:val="19"/>
              </w:rPr>
              <w:t>81.25%</w:t>
            </w:r>
          </w:p>
        </w:tc>
        <w:tc>
          <w:tcPr>
            <w:tcW w:type="dxa" w:w="1608"/>
            <w:shd w:fill="F8FAFC"/>
            <w:tcMar>
              <w:top w:w="50" w:type="dxa"/>
              <w:bottom w:w="50" w:type="dxa"/>
              <w:left w:w="70" w:type="dxa"/>
              <w:right w:w="70" w:type="dxa"/>
            </w:tcMar>
          </w:tcPr>
          <w:p>
            <w:pPr>
              <w:jc w:val="center"/>
            </w:pPr>
            <w:r>
              <w:rPr>
                <w:rFonts w:ascii="Calibri" w:hAnsi="Calibri"/>
                <w:b/>
                <w:color w:val="166534"/>
                <w:sz w:val="19"/>
              </w:rPr>
              <w:t>+18.09%</w:t>
            </w:r>
          </w:p>
        </w:tc>
      </w:tr>
      <w:tr>
        <w:tc>
          <w:tcPr>
            <w:tcW w:type="dxa" w:w="1608"/>
            <w:shd w:fill="FFFFFF"/>
            <w:tcMar>
              <w:top w:w="50" w:type="dxa"/>
              <w:bottom w:w="50" w:type="dxa"/>
              <w:left w:w="70" w:type="dxa"/>
              <w:right w:w="70" w:type="dxa"/>
            </w:tcMar>
          </w:tcPr>
          <w:p>
            <w:pPr>
              <w:jc w:val="center"/>
            </w:pPr>
            <w:r>
              <w:rPr>
                <w:rFonts w:ascii="Calibri" w:hAnsi="Calibri"/>
                <w:b/>
                <w:sz w:val="19"/>
              </w:rPr>
              <w:t>P9</w:t>
            </w:r>
          </w:p>
        </w:tc>
        <w:tc>
          <w:tcPr>
            <w:tcW w:type="dxa" w:w="1608"/>
            <w:shd w:fill="FFFFFF"/>
            <w:tcMar>
              <w:top w:w="50" w:type="dxa"/>
              <w:bottom w:w="50" w:type="dxa"/>
              <w:left w:w="70" w:type="dxa"/>
              <w:right w:w="70" w:type="dxa"/>
            </w:tcMar>
          </w:tcPr>
          <w:p>
            <w:r>
              <w:rPr>
                <w:rFonts w:ascii="Calibri" w:hAnsi="Calibri"/>
                <w:sz w:val="19"/>
              </w:rPr>
              <w:t>Reconocimiento de secuencias/patrones</w:t>
            </w:r>
          </w:p>
        </w:tc>
        <w:tc>
          <w:tcPr>
            <w:tcW w:type="dxa" w:w="1608"/>
            <w:shd w:fill="FFFFFF"/>
            <w:tcMar>
              <w:top w:w="50" w:type="dxa"/>
              <w:bottom w:w="50" w:type="dxa"/>
              <w:left w:w="70" w:type="dxa"/>
              <w:right w:w="70" w:type="dxa"/>
            </w:tcMar>
          </w:tcPr>
          <w:p>
            <w:pPr>
              <w:jc w:val="center"/>
            </w:pPr>
            <w:r>
              <w:rPr>
                <w:rFonts w:ascii="Calibri" w:hAnsi="Calibri"/>
                <w:b/>
                <w:sz w:val="19"/>
              </w:rPr>
              <w:t>B</w:t>
            </w:r>
          </w:p>
        </w:tc>
        <w:tc>
          <w:tcPr>
            <w:tcW w:type="dxa" w:w="1608"/>
            <w:shd w:fill="FFFFFF"/>
            <w:tcMar>
              <w:top w:w="50" w:type="dxa"/>
              <w:bottom w:w="50" w:type="dxa"/>
              <w:left w:w="70" w:type="dxa"/>
              <w:right w:w="70" w:type="dxa"/>
            </w:tcMar>
          </w:tcPr>
          <w:p>
            <w:pPr>
              <w:jc w:val="center"/>
            </w:pPr>
            <w:r>
              <w:rPr>
                <w:rFonts w:ascii="Calibri" w:hAnsi="Calibri"/>
                <w:sz w:val="19"/>
              </w:rPr>
              <w:t>52.63%</w:t>
            </w:r>
          </w:p>
        </w:tc>
        <w:tc>
          <w:tcPr>
            <w:tcW w:type="dxa" w:w="1608"/>
            <w:shd w:fill="FFFFFF"/>
            <w:tcMar>
              <w:top w:w="50" w:type="dxa"/>
              <w:bottom w:w="50" w:type="dxa"/>
              <w:left w:w="70" w:type="dxa"/>
              <w:right w:w="70" w:type="dxa"/>
            </w:tcMar>
          </w:tcPr>
          <w:p>
            <w:pPr>
              <w:jc w:val="center"/>
            </w:pPr>
            <w:r>
              <w:rPr>
                <w:rFonts w:ascii="Calibri" w:hAnsi="Calibri"/>
                <w:sz w:val="19"/>
              </w:rPr>
              <w:t>40.63%</w:t>
            </w:r>
          </w:p>
        </w:tc>
        <w:tc>
          <w:tcPr>
            <w:tcW w:type="dxa" w:w="1608"/>
            <w:shd w:fill="FFFFFF"/>
            <w:tcMar>
              <w:top w:w="50" w:type="dxa"/>
              <w:bottom w:w="50" w:type="dxa"/>
              <w:left w:w="70" w:type="dxa"/>
              <w:right w:w="70" w:type="dxa"/>
            </w:tcMar>
          </w:tcPr>
          <w:p>
            <w:pPr>
              <w:jc w:val="center"/>
            </w:pPr>
            <w:r>
              <w:rPr>
                <w:rFonts w:ascii="Calibri" w:hAnsi="Calibri"/>
                <w:b/>
                <w:color w:val="DC2626"/>
                <w:sz w:val="19"/>
              </w:rPr>
              <w:t>-12.00%</w:t>
            </w:r>
          </w:p>
        </w:tc>
      </w:tr>
      <w:tr>
        <w:tc>
          <w:tcPr>
            <w:tcW w:type="dxa" w:w="1608"/>
            <w:shd w:fill="F8FAFC"/>
            <w:tcMar>
              <w:top w:w="50" w:type="dxa"/>
              <w:bottom w:w="50" w:type="dxa"/>
              <w:left w:w="70" w:type="dxa"/>
              <w:right w:w="70" w:type="dxa"/>
            </w:tcMar>
          </w:tcPr>
          <w:p>
            <w:pPr>
              <w:jc w:val="center"/>
            </w:pPr>
            <w:r>
              <w:rPr>
                <w:rFonts w:ascii="Calibri" w:hAnsi="Calibri"/>
                <w:b/>
                <w:sz w:val="19"/>
              </w:rPr>
              <w:t>P10</w:t>
            </w:r>
          </w:p>
        </w:tc>
        <w:tc>
          <w:tcPr>
            <w:tcW w:type="dxa" w:w="1608"/>
            <w:shd w:fill="F8FAFC"/>
            <w:tcMar>
              <w:top w:w="50" w:type="dxa"/>
              <w:bottom w:w="50" w:type="dxa"/>
              <w:left w:w="70" w:type="dxa"/>
              <w:right w:w="70" w:type="dxa"/>
            </w:tcMar>
          </w:tcPr>
          <w:p>
            <w:r>
              <w:rPr>
                <w:rFonts w:ascii="Calibri" w:hAnsi="Calibri"/>
                <w:sz w:val="19"/>
              </w:rPr>
              <w:t>Secuencias numéricas aritméticas</w:t>
            </w:r>
          </w:p>
        </w:tc>
        <w:tc>
          <w:tcPr>
            <w:tcW w:type="dxa" w:w="1608"/>
            <w:shd w:fill="F8FAFC"/>
            <w:tcMar>
              <w:top w:w="50" w:type="dxa"/>
              <w:bottom w:w="50" w:type="dxa"/>
              <w:left w:w="70" w:type="dxa"/>
              <w:right w:w="70" w:type="dxa"/>
            </w:tcMar>
          </w:tcPr>
          <w:p>
            <w:pPr>
              <w:jc w:val="center"/>
            </w:pPr>
            <w:r>
              <w:rPr>
                <w:rFonts w:ascii="Calibri" w:hAnsi="Calibri"/>
                <w:b/>
                <w:sz w:val="19"/>
              </w:rPr>
              <w:t>B</w:t>
            </w:r>
          </w:p>
        </w:tc>
        <w:tc>
          <w:tcPr>
            <w:tcW w:type="dxa" w:w="1608"/>
            <w:shd w:fill="F8FAFC"/>
            <w:tcMar>
              <w:top w:w="50" w:type="dxa"/>
              <w:bottom w:w="50" w:type="dxa"/>
              <w:left w:w="70" w:type="dxa"/>
              <w:right w:w="70" w:type="dxa"/>
            </w:tcMar>
          </w:tcPr>
          <w:p>
            <w:pPr>
              <w:jc w:val="center"/>
            </w:pPr>
            <w:r>
              <w:rPr>
                <w:rFonts w:ascii="Calibri" w:hAnsi="Calibri"/>
                <w:sz w:val="19"/>
              </w:rPr>
              <w:t>84.21%</w:t>
            </w:r>
          </w:p>
        </w:tc>
        <w:tc>
          <w:tcPr>
            <w:tcW w:type="dxa" w:w="1608"/>
            <w:shd w:fill="F8FAFC"/>
            <w:tcMar>
              <w:top w:w="50" w:type="dxa"/>
              <w:bottom w:w="50" w:type="dxa"/>
              <w:left w:w="70" w:type="dxa"/>
              <w:right w:w="70" w:type="dxa"/>
            </w:tcMar>
          </w:tcPr>
          <w:p>
            <w:pPr>
              <w:jc w:val="center"/>
            </w:pPr>
            <w:r>
              <w:rPr>
                <w:rFonts w:ascii="Calibri" w:hAnsi="Calibri"/>
                <w:sz w:val="19"/>
              </w:rPr>
              <w:t>87.50%</w:t>
            </w:r>
          </w:p>
        </w:tc>
        <w:tc>
          <w:tcPr>
            <w:tcW w:type="dxa" w:w="1608"/>
            <w:shd w:fill="F8FAFC"/>
            <w:tcMar>
              <w:top w:w="50" w:type="dxa"/>
              <w:bottom w:w="50" w:type="dxa"/>
              <w:left w:w="70" w:type="dxa"/>
              <w:right w:w="70" w:type="dxa"/>
            </w:tcMar>
          </w:tcPr>
          <w:p>
            <w:pPr>
              <w:jc w:val="center"/>
            </w:pPr>
            <w:r>
              <w:rPr>
                <w:rFonts w:ascii="Calibri" w:hAnsi="Calibri"/>
                <w:b/>
                <w:color w:val="166534"/>
                <w:sz w:val="19"/>
              </w:rPr>
              <w:t>+3.29%</w:t>
            </w:r>
          </w:p>
        </w:tc>
      </w:tr>
      <w:tr>
        <w:tc>
          <w:tcPr>
            <w:tcW w:type="dxa" w:w="1608"/>
            <w:shd w:fill="FFFFFF"/>
            <w:tcMar>
              <w:top w:w="50" w:type="dxa"/>
              <w:bottom w:w="50" w:type="dxa"/>
              <w:left w:w="70" w:type="dxa"/>
              <w:right w:w="70" w:type="dxa"/>
            </w:tcMar>
          </w:tcPr>
          <w:p>
            <w:pPr>
              <w:jc w:val="center"/>
            </w:pPr>
            <w:r>
              <w:rPr>
                <w:rFonts w:ascii="Calibri" w:hAnsi="Calibri"/>
                <w:b/>
                <w:sz w:val="19"/>
              </w:rPr>
              <w:t>P11</w:t>
            </w:r>
          </w:p>
        </w:tc>
        <w:tc>
          <w:tcPr>
            <w:tcW w:type="dxa" w:w="1608"/>
            <w:shd w:fill="FFFFFF"/>
            <w:tcMar>
              <w:top w:w="50" w:type="dxa"/>
              <w:bottom w:w="50" w:type="dxa"/>
              <w:left w:w="70" w:type="dxa"/>
              <w:right w:w="70" w:type="dxa"/>
            </w:tcMar>
          </w:tcPr>
          <w:p>
            <w:r>
              <w:rPr>
                <w:rFonts w:ascii="Calibri" w:hAnsi="Calibri"/>
                <w:sz w:val="19"/>
              </w:rPr>
              <w:t>Secuencias temporales cotidianas</w:t>
            </w:r>
          </w:p>
        </w:tc>
        <w:tc>
          <w:tcPr>
            <w:tcW w:type="dxa" w:w="1608"/>
            <w:shd w:fill="FFFFFF"/>
            <w:tcMar>
              <w:top w:w="50" w:type="dxa"/>
              <w:bottom w:w="50" w:type="dxa"/>
              <w:left w:w="70" w:type="dxa"/>
              <w:right w:w="70" w:type="dxa"/>
            </w:tcMar>
          </w:tcPr>
          <w:p>
            <w:pPr>
              <w:jc w:val="center"/>
            </w:pPr>
            <w:r>
              <w:rPr>
                <w:rFonts w:ascii="Calibri" w:hAnsi="Calibri"/>
                <w:b/>
                <w:sz w:val="19"/>
              </w:rPr>
              <w:t>A</w:t>
            </w:r>
          </w:p>
        </w:tc>
        <w:tc>
          <w:tcPr>
            <w:tcW w:type="dxa" w:w="1608"/>
            <w:shd w:fill="FFFFFF"/>
            <w:tcMar>
              <w:top w:w="50" w:type="dxa"/>
              <w:bottom w:w="50" w:type="dxa"/>
              <w:left w:w="70" w:type="dxa"/>
              <w:right w:w="70" w:type="dxa"/>
            </w:tcMar>
          </w:tcPr>
          <w:p>
            <w:pPr>
              <w:jc w:val="center"/>
            </w:pPr>
            <w:r>
              <w:rPr>
                <w:rFonts w:ascii="Calibri" w:hAnsi="Calibri"/>
                <w:sz w:val="19"/>
              </w:rPr>
              <w:t>89.47%</w:t>
            </w:r>
          </w:p>
        </w:tc>
        <w:tc>
          <w:tcPr>
            <w:tcW w:type="dxa" w:w="1608"/>
            <w:shd w:fill="FFFFFF"/>
            <w:tcMar>
              <w:top w:w="50" w:type="dxa"/>
              <w:bottom w:w="50" w:type="dxa"/>
              <w:left w:w="70" w:type="dxa"/>
              <w:right w:w="70" w:type="dxa"/>
            </w:tcMar>
          </w:tcPr>
          <w:p>
            <w:pPr>
              <w:jc w:val="center"/>
            </w:pPr>
            <w:r>
              <w:rPr>
                <w:rFonts w:ascii="Calibri" w:hAnsi="Calibri"/>
                <w:sz w:val="19"/>
              </w:rPr>
              <w:t>87.50%</w:t>
            </w:r>
          </w:p>
        </w:tc>
        <w:tc>
          <w:tcPr>
            <w:tcW w:type="dxa" w:w="1608"/>
            <w:shd w:fill="FFFFFF"/>
            <w:tcMar>
              <w:top w:w="50" w:type="dxa"/>
              <w:bottom w:w="50" w:type="dxa"/>
              <w:left w:w="70" w:type="dxa"/>
              <w:right w:w="70" w:type="dxa"/>
            </w:tcMar>
          </w:tcPr>
          <w:p>
            <w:pPr>
              <w:jc w:val="center"/>
            </w:pPr>
            <w:r>
              <w:rPr>
                <w:rFonts w:ascii="Calibri" w:hAnsi="Calibri"/>
                <w:b/>
                <w:sz w:val="19"/>
              </w:rPr>
              <w:t>-1.97%</w:t>
            </w:r>
          </w:p>
        </w:tc>
      </w:tr>
      <w:tr>
        <w:tc>
          <w:tcPr>
            <w:tcW w:type="dxa" w:w="1608"/>
            <w:shd w:fill="F8FAFC"/>
            <w:tcMar>
              <w:top w:w="50" w:type="dxa"/>
              <w:bottom w:w="50" w:type="dxa"/>
              <w:left w:w="70" w:type="dxa"/>
              <w:right w:w="70" w:type="dxa"/>
            </w:tcMar>
          </w:tcPr>
          <w:p>
            <w:pPr>
              <w:jc w:val="center"/>
            </w:pPr>
            <w:r>
              <w:rPr>
                <w:rFonts w:ascii="Calibri" w:hAnsi="Calibri"/>
                <w:b/>
                <w:sz w:val="19"/>
              </w:rPr>
              <w:t>P12</w:t>
            </w:r>
          </w:p>
        </w:tc>
        <w:tc>
          <w:tcPr>
            <w:tcW w:type="dxa" w:w="1608"/>
            <w:shd w:fill="F8FAFC"/>
            <w:tcMar>
              <w:top w:w="50" w:type="dxa"/>
              <w:bottom w:w="50" w:type="dxa"/>
              <w:left w:w="70" w:type="dxa"/>
              <w:right w:w="70" w:type="dxa"/>
            </w:tcMar>
          </w:tcPr>
          <w:p>
            <w:r>
              <w:rPr>
                <w:rFonts w:ascii="Calibri" w:hAnsi="Calibri"/>
                <w:sz w:val="19"/>
              </w:rPr>
              <w:t>Creación de algoritmos paso a paso</w:t>
            </w:r>
          </w:p>
        </w:tc>
        <w:tc>
          <w:tcPr>
            <w:tcW w:type="dxa" w:w="1608"/>
            <w:shd w:fill="F8FAFC"/>
            <w:tcMar>
              <w:top w:w="50" w:type="dxa"/>
              <w:bottom w:w="50" w:type="dxa"/>
              <w:left w:w="70" w:type="dxa"/>
              <w:right w:w="70" w:type="dxa"/>
            </w:tcMar>
          </w:tcPr>
          <w:p>
            <w:pPr>
              <w:jc w:val="center"/>
            </w:pPr>
            <w:r>
              <w:rPr>
                <w:rFonts w:ascii="Calibri" w:hAnsi="Calibri"/>
                <w:b/>
                <w:sz w:val="19"/>
              </w:rPr>
              <w:t>B</w:t>
            </w:r>
          </w:p>
        </w:tc>
        <w:tc>
          <w:tcPr>
            <w:tcW w:type="dxa" w:w="1608"/>
            <w:shd w:fill="F8FAFC"/>
            <w:tcMar>
              <w:top w:w="50" w:type="dxa"/>
              <w:bottom w:w="50" w:type="dxa"/>
              <w:left w:w="70" w:type="dxa"/>
              <w:right w:w="70" w:type="dxa"/>
            </w:tcMar>
          </w:tcPr>
          <w:p>
            <w:pPr>
              <w:jc w:val="center"/>
            </w:pPr>
            <w:r>
              <w:rPr>
                <w:rFonts w:ascii="Calibri" w:hAnsi="Calibri"/>
                <w:sz w:val="19"/>
              </w:rPr>
              <w:t>68.42%</w:t>
            </w:r>
          </w:p>
        </w:tc>
        <w:tc>
          <w:tcPr>
            <w:tcW w:type="dxa" w:w="1608"/>
            <w:shd w:fill="F8FAFC"/>
            <w:tcMar>
              <w:top w:w="50" w:type="dxa"/>
              <w:bottom w:w="50" w:type="dxa"/>
              <w:left w:w="70" w:type="dxa"/>
              <w:right w:w="70" w:type="dxa"/>
            </w:tcMar>
          </w:tcPr>
          <w:p>
            <w:pPr>
              <w:jc w:val="center"/>
            </w:pPr>
            <w:r>
              <w:rPr>
                <w:rFonts w:ascii="Calibri" w:hAnsi="Calibri"/>
                <w:sz w:val="19"/>
              </w:rPr>
              <w:t>78.13%</w:t>
            </w:r>
          </w:p>
        </w:tc>
        <w:tc>
          <w:tcPr>
            <w:tcW w:type="dxa" w:w="1608"/>
            <w:shd w:fill="F8FAFC"/>
            <w:tcMar>
              <w:top w:w="50" w:type="dxa"/>
              <w:bottom w:w="50" w:type="dxa"/>
              <w:left w:w="70" w:type="dxa"/>
              <w:right w:w="70" w:type="dxa"/>
            </w:tcMar>
          </w:tcPr>
          <w:p>
            <w:pPr>
              <w:jc w:val="center"/>
            </w:pPr>
            <w:r>
              <w:rPr>
                <w:rFonts w:ascii="Calibri" w:hAnsi="Calibri"/>
                <w:b/>
                <w:color w:val="166534"/>
                <w:sz w:val="19"/>
              </w:rPr>
              <w:t>+9.71%</w:t>
            </w:r>
          </w:p>
        </w:tc>
      </w:tr>
      <w:tr>
        <w:tc>
          <w:tcPr>
            <w:tcW w:type="dxa" w:w="1608"/>
            <w:shd w:fill="FFFFFF"/>
            <w:tcMar>
              <w:top w:w="50" w:type="dxa"/>
              <w:bottom w:w="50" w:type="dxa"/>
              <w:left w:w="70" w:type="dxa"/>
              <w:right w:w="70" w:type="dxa"/>
            </w:tcMar>
          </w:tcPr>
          <w:p>
            <w:pPr>
              <w:jc w:val="center"/>
            </w:pPr>
            <w:r>
              <w:rPr>
                <w:rFonts w:ascii="Calibri" w:hAnsi="Calibri"/>
                <w:b/>
                <w:sz w:val="19"/>
              </w:rPr>
              <w:t>P13</w:t>
            </w:r>
          </w:p>
        </w:tc>
        <w:tc>
          <w:tcPr>
            <w:tcW w:type="dxa" w:w="1608"/>
            <w:shd w:fill="FFFFFF"/>
            <w:tcMar>
              <w:top w:w="50" w:type="dxa"/>
              <w:bottom w:w="50" w:type="dxa"/>
              <w:left w:w="70" w:type="dxa"/>
              <w:right w:w="70" w:type="dxa"/>
            </w:tcMar>
          </w:tcPr>
          <w:p>
            <w:r>
              <w:rPr>
                <w:rFonts w:ascii="Calibri" w:hAnsi="Calibri"/>
                <w:sz w:val="19"/>
              </w:rPr>
              <w:t>Pensamiento condicional (If/Else)</w:t>
            </w:r>
          </w:p>
        </w:tc>
        <w:tc>
          <w:tcPr>
            <w:tcW w:type="dxa" w:w="1608"/>
            <w:shd w:fill="FFFFFF"/>
            <w:tcMar>
              <w:top w:w="50" w:type="dxa"/>
              <w:bottom w:w="50" w:type="dxa"/>
              <w:left w:w="70" w:type="dxa"/>
              <w:right w:w="70" w:type="dxa"/>
            </w:tcMar>
          </w:tcPr>
          <w:p>
            <w:pPr>
              <w:jc w:val="center"/>
            </w:pPr>
            <w:r>
              <w:rPr>
                <w:rFonts w:ascii="Calibri" w:hAnsi="Calibri"/>
                <w:b/>
                <w:sz w:val="19"/>
              </w:rPr>
              <w:t>B</w:t>
            </w:r>
          </w:p>
        </w:tc>
        <w:tc>
          <w:tcPr>
            <w:tcW w:type="dxa" w:w="1608"/>
            <w:shd w:fill="FFFFFF"/>
            <w:tcMar>
              <w:top w:w="50" w:type="dxa"/>
              <w:bottom w:w="50" w:type="dxa"/>
              <w:left w:w="70" w:type="dxa"/>
              <w:right w:w="70" w:type="dxa"/>
            </w:tcMar>
          </w:tcPr>
          <w:p>
            <w:pPr>
              <w:jc w:val="center"/>
            </w:pPr>
            <w:r>
              <w:rPr>
                <w:rFonts w:ascii="Calibri" w:hAnsi="Calibri"/>
                <w:sz w:val="19"/>
              </w:rPr>
              <w:t>73.68%</w:t>
            </w:r>
          </w:p>
        </w:tc>
        <w:tc>
          <w:tcPr>
            <w:tcW w:type="dxa" w:w="1608"/>
            <w:shd w:fill="FFFFFF"/>
            <w:tcMar>
              <w:top w:w="50" w:type="dxa"/>
              <w:bottom w:w="50" w:type="dxa"/>
              <w:left w:w="70" w:type="dxa"/>
              <w:right w:w="70" w:type="dxa"/>
            </w:tcMar>
          </w:tcPr>
          <w:p>
            <w:pPr>
              <w:jc w:val="center"/>
            </w:pPr>
            <w:r>
              <w:rPr>
                <w:rFonts w:ascii="Calibri" w:hAnsi="Calibri"/>
                <w:sz w:val="19"/>
              </w:rPr>
              <w:t>65.63%</w:t>
            </w:r>
          </w:p>
        </w:tc>
        <w:tc>
          <w:tcPr>
            <w:tcW w:type="dxa" w:w="1608"/>
            <w:shd w:fill="FFFFFF"/>
            <w:tcMar>
              <w:top w:w="50" w:type="dxa"/>
              <w:bottom w:w="50" w:type="dxa"/>
              <w:left w:w="70" w:type="dxa"/>
              <w:right w:w="70" w:type="dxa"/>
            </w:tcMar>
          </w:tcPr>
          <w:p>
            <w:pPr>
              <w:jc w:val="center"/>
            </w:pPr>
            <w:r>
              <w:rPr>
                <w:rFonts w:ascii="Calibri" w:hAnsi="Calibri"/>
                <w:b/>
                <w:color w:val="DC2626"/>
                <w:sz w:val="19"/>
              </w:rPr>
              <w:t>-8.05%</w:t>
            </w:r>
          </w:p>
        </w:tc>
      </w:tr>
      <w:tr>
        <w:tc>
          <w:tcPr>
            <w:tcW w:type="dxa" w:w="1608"/>
            <w:shd w:fill="F8FAFC"/>
            <w:tcMar>
              <w:top w:w="50" w:type="dxa"/>
              <w:bottom w:w="50" w:type="dxa"/>
              <w:left w:w="70" w:type="dxa"/>
              <w:right w:w="70" w:type="dxa"/>
            </w:tcMar>
          </w:tcPr>
          <w:p>
            <w:pPr>
              <w:jc w:val="center"/>
            </w:pPr>
            <w:r>
              <w:rPr>
                <w:rFonts w:ascii="Calibri" w:hAnsi="Calibri"/>
                <w:b/>
                <w:sz w:val="19"/>
              </w:rPr>
              <w:t>P14</w:t>
            </w:r>
          </w:p>
        </w:tc>
        <w:tc>
          <w:tcPr>
            <w:tcW w:type="dxa" w:w="1608"/>
            <w:shd w:fill="F8FAFC"/>
            <w:tcMar>
              <w:top w:w="50" w:type="dxa"/>
              <w:bottom w:w="50" w:type="dxa"/>
              <w:left w:w="70" w:type="dxa"/>
              <w:right w:w="70" w:type="dxa"/>
            </w:tcMar>
          </w:tcPr>
          <w:p>
            <w:r>
              <w:rPr>
                <w:rFonts w:ascii="Calibri" w:hAnsi="Calibri"/>
                <w:sz w:val="19"/>
              </w:rPr>
              <w:t>Bucles y orientación espacial</w:t>
            </w:r>
          </w:p>
        </w:tc>
        <w:tc>
          <w:tcPr>
            <w:tcW w:type="dxa" w:w="1608"/>
            <w:shd w:fill="F8FAFC"/>
            <w:tcMar>
              <w:top w:w="50" w:type="dxa"/>
              <w:bottom w:w="50" w:type="dxa"/>
              <w:left w:w="70" w:type="dxa"/>
              <w:right w:w="70" w:type="dxa"/>
            </w:tcMar>
          </w:tcPr>
          <w:p>
            <w:pPr>
              <w:jc w:val="center"/>
            </w:pPr>
            <w:r>
              <w:rPr>
                <w:rFonts w:ascii="Calibri" w:hAnsi="Calibri"/>
                <w:b/>
                <w:sz w:val="19"/>
              </w:rPr>
              <w:t>C</w:t>
            </w:r>
          </w:p>
        </w:tc>
        <w:tc>
          <w:tcPr>
            <w:tcW w:type="dxa" w:w="1608"/>
            <w:shd w:fill="F8FAFC"/>
            <w:tcMar>
              <w:top w:w="50" w:type="dxa"/>
              <w:bottom w:w="50" w:type="dxa"/>
              <w:left w:w="70" w:type="dxa"/>
              <w:right w:w="70" w:type="dxa"/>
            </w:tcMar>
          </w:tcPr>
          <w:p>
            <w:pPr>
              <w:jc w:val="center"/>
            </w:pPr>
            <w:r>
              <w:rPr>
                <w:rFonts w:ascii="Calibri" w:hAnsi="Calibri"/>
                <w:sz w:val="19"/>
              </w:rPr>
              <w:t>57.89%</w:t>
            </w:r>
          </w:p>
        </w:tc>
        <w:tc>
          <w:tcPr>
            <w:tcW w:type="dxa" w:w="1608"/>
            <w:shd w:fill="F8FAFC"/>
            <w:tcMar>
              <w:top w:w="50" w:type="dxa"/>
              <w:bottom w:w="50" w:type="dxa"/>
              <w:left w:w="70" w:type="dxa"/>
              <w:right w:w="70" w:type="dxa"/>
            </w:tcMar>
          </w:tcPr>
          <w:p>
            <w:pPr>
              <w:jc w:val="center"/>
            </w:pPr>
            <w:r>
              <w:rPr>
                <w:rFonts w:ascii="Calibri" w:hAnsi="Calibri"/>
                <w:sz w:val="19"/>
              </w:rPr>
              <w:t>28.13%</w:t>
            </w:r>
          </w:p>
        </w:tc>
        <w:tc>
          <w:tcPr>
            <w:tcW w:type="dxa" w:w="1608"/>
            <w:shd w:fill="F8FAFC"/>
            <w:tcMar>
              <w:top w:w="50" w:type="dxa"/>
              <w:bottom w:w="50" w:type="dxa"/>
              <w:left w:w="70" w:type="dxa"/>
              <w:right w:w="70" w:type="dxa"/>
            </w:tcMar>
          </w:tcPr>
          <w:p>
            <w:pPr>
              <w:jc w:val="center"/>
            </w:pPr>
            <w:r>
              <w:rPr>
                <w:rFonts w:ascii="Calibri" w:hAnsi="Calibri"/>
                <w:b/>
                <w:color w:val="DC2626"/>
                <w:sz w:val="19"/>
              </w:rPr>
              <w:t>-29.76%</w:t>
            </w:r>
          </w:p>
        </w:tc>
      </w:tr>
    </w:tbl>
    <w:p>
      <w:pPr>
        <w:spacing w:after="280"/>
      </w:pPr>
    </w:p>
    <w:p>
      <w:pPr>
        <w:pStyle w:val="Heading1"/>
        <w:spacing w:before="280" w:after="120"/>
      </w:pPr>
      <w:r>
        <w:rPr>
          <w:rFonts w:ascii="Calibri" w:hAnsi="Calibri"/>
          <w:b/>
          <w:color w:val="0369A1"/>
          <w:sz w:val="32"/>
        </w:rPr>
        <w:t>5. Conclusiones y Recomendaciones Pedagógicas</w:t>
      </w:r>
    </w:p>
    <w:p>
      <w:pPr>
        <w:spacing w:line="276" w:lineRule="auto" w:after="160"/>
      </w:pPr>
      <w:r>
        <w:t>El análisis integral y comparativo de los resultados ratifica que la capacitación en Pensamiento Computacional cumplió exitosamente sus metas de aprendizaje prioritarias en el Paralelo B, registrando una ganancia cuantitativa positiva en el promedio general (de 6.43 a 6.53 puntos) y en el grupo de estudiantes pareados (+0.06 pts).</w:t>
      </w:r>
    </w:p>
    <w:p>
      <w:pPr>
        <w:spacing w:after="120"/>
      </w:pPr>
      <w:r>
        <w:rPr>
          <w:b/>
          <w:color w:val="166534"/>
        </w:rPr>
        <w:t xml:space="preserve">• Fortalezas Principales: </w:t>
      </w:r>
      <w:r>
        <w:t>Se evidenció un crecimiento excepcional en la conceptualización de Hardware físico (P5, +23.68%), en la estructuración lógica y cronológica de procesos (P8, +18.09%) y en la creación estructurada de algoritmos secuenciales paso a paso (P12, +9.71%). Los estudiantes adquirieron vocabulario técnico preciso y mayor orden metódico.</w:t>
      </w:r>
    </w:p>
    <w:p>
      <w:pPr>
        <w:spacing w:after="120"/>
      </w:pPr>
      <w:r>
        <w:rPr>
          <w:b/>
          <w:color w:val="0369A1"/>
        </w:rPr>
        <w:t xml:space="preserve">• Competencias Consolidadas: </w:t>
      </w:r>
      <w:r>
        <w:t>El curso mantuvo de forma continua rendimientos superiores al 85% en reconocimiento de secuencias numéricas (P10), asociación de patrones y características comunes de objetos (P6) y secuenciación de actividades diarias cotidianas (P11).</w:t>
      </w:r>
    </w:p>
    <w:p>
      <w:pPr>
        <w:spacing w:after="320"/>
      </w:pPr>
      <w:r>
        <w:rPr>
          <w:b/>
          <w:color w:val="C2410C"/>
        </w:rPr>
        <w:t xml:space="preserve">• Oportunidades Prioritarias de Mejora Pedagógica: </w:t>
      </w:r>
      <w:r>
        <w:t>El descenso observado en Bucles y orientación espacial (P14, -29.76%), Abstracción (P7, -8.38%) y Patrones alternados (P9, -12.00%) señala la necesidad indispensable de incorporar en próximas capacitaciones actividades kinestésicas desconectadas de tipo 'robot humano' en el suelo cuadriculado (giros a izquierda/derecha, avances iterativos y bucles con repeticiones corporales), así como talleres de dibujo y esquematización rápida para internalizar la síntesis de información compleja.</w:t>
      </w:r>
    </w:p>
    <w:p>
      <w:pPr>
        <w:pStyle w:val="Heading1"/>
        <w:spacing w:before="280" w:after="120"/>
      </w:pPr>
      <w:r>
        <w:rPr>
          <w:rFonts w:ascii="Calibri" w:hAnsi="Calibri"/>
          <w:b/>
          <w:color w:val="0369A1"/>
          <w:sz w:val="32"/>
        </w:rPr>
        <w:t>6. Firmas de Responsabilidad</w:t>
      </w:r>
    </w:p>
    <w:p>
      <w:pPr>
        <w:spacing w:after="400"/>
      </w:pPr>
    </w:p>
    <w:tbl>
      <w:tblPr>
        <w:tblW w:type="auto" w:w="0"/>
        <w:jc w:val="center"/>
        <w:tblLook w:firstColumn="1" w:firstRow="1" w:lastColumn="0" w:lastRow="0" w:noHBand="0" w:noVBand="1" w:val="04A0"/>
      </w:tblPr>
      <w:tblGrid>
        <w:gridCol w:w="4824"/>
        <w:gridCol w:w="4824"/>
      </w:tblGrid>
      <w:tr>
        <w:tc>
          <w:tcPr>
            <w:tcW w:type="dxa" w:w="4608"/>
          </w:tcPr>
          <w:p>
            <w:pPr>
              <w:jc w:val="center"/>
            </w:pPr>
            <w:r>
              <w:t>________________________________________</w:t>
            </w:r>
          </w:p>
        </w:tc>
        <w:tc>
          <w:tcPr>
            <w:tcW w:type="dxa" w:w="4608"/>
          </w:tcPr>
          <w:p>
            <w:pPr>
              <w:jc w:val="center"/>
            </w:pPr>
            <w:r>
              <w:t>________________________________________</w:t>
            </w:r>
          </w:p>
        </w:tc>
      </w:tr>
      <w:tr>
        <w:tc>
          <w:tcPr>
            <w:tcW w:type="dxa" w:w="4608"/>
          </w:tcPr>
          <w:p>
            <w:pPr>
              <w:jc w:val="center"/>
            </w:pPr>
            <w:r>
              <w:rPr>
                <w:b/>
              </w:rPr>
              <w:t>Docente Responsable / Facilitador</w:t>
              <w:br/>
            </w:r>
            <w:r>
              <w:t>Capacitación en Pensamiento Computacional</w:t>
              <w:br/>
              <w:t>Unidad Educativa Enrique López Lascano</w:t>
            </w:r>
          </w:p>
        </w:tc>
        <w:tc>
          <w:tcPr>
            <w:tcW w:type="dxa" w:w="4608"/>
          </w:tcPr>
          <w:p>
            <w:pPr>
              <w:jc w:val="center"/>
            </w:pPr>
            <w:r>
              <w:rPr>
                <w:b/>
              </w:rPr>
              <w:t>Dirección / Coordinación Académica</w:t>
              <w:br/>
            </w:r>
            <w:r>
              <w:t>Comisión Técnico Pedagógica</w:t>
              <w:br/>
              <w:t>Unidad Educativa Enrique López Lascano</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