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3BB74" w14:textId="0B7B2C13" w:rsidR="00BB689B" w:rsidRPr="004941E0" w:rsidRDefault="00BB689B" w:rsidP="004941E0">
      <w:pPr>
        <w:pStyle w:val="MDPI21heading1"/>
        <w:numPr>
          <w:ilvl w:val="0"/>
          <w:numId w:val="0"/>
        </w:numPr>
        <w:jc w:val="both"/>
        <w:rPr>
          <w:u w:val="single"/>
        </w:rPr>
      </w:pPr>
      <w:r w:rsidRPr="004941E0">
        <w:rPr>
          <w:u w:val="single"/>
        </w:rPr>
        <w:t>Proof of Efficacy</w:t>
      </w:r>
      <w:r w:rsidR="004941E0" w:rsidRPr="004941E0">
        <w:rPr>
          <w:u w:val="single"/>
        </w:rPr>
        <w:t xml:space="preserve"> Protocol</w:t>
      </w:r>
    </w:p>
    <w:p w14:paraId="04687D32" w14:textId="293C1B81" w:rsidR="00FD2AC5" w:rsidRDefault="004941E0" w:rsidP="00FD2AC5">
      <w:pPr>
        <w:pStyle w:val="MDPI31text"/>
        <w:ind w:left="0"/>
      </w:pPr>
      <w:r>
        <w:t xml:space="preserve">In order to </w:t>
      </w:r>
      <w:r w:rsidR="00FD2AC5">
        <w:t xml:space="preserve">further characterize the </w:t>
      </w:r>
      <w:r>
        <w:t xml:space="preserve">Aducanumab’s </w:t>
      </w:r>
      <w:r w:rsidR="00FD2AC5">
        <w:t>behavior, we employed bioinformatic modeling to investigate the impact of non-cleavable linkers, such as (G4</w:t>
      </w:r>
      <w:proofErr w:type="gramStart"/>
      <w:r w:rsidR="00FD2AC5">
        <w:t>S)n</w:t>
      </w:r>
      <w:proofErr w:type="gramEnd"/>
      <w:r w:rsidR="00FD2AC5">
        <w:t>, on antibody binding. Our examination, centered on steric hindrance, sought to understand the effects of the length of the linker and its influence on brain penetration. The complex formed between Aducanumab and Aβ has already been documented in the Protein Data Bank (PDB ID: 6c03)</w:t>
      </w:r>
      <w:r w:rsidR="00FD2AC5" w:rsidRPr="00FD2AC5">
        <w:t xml:space="preserve"> </w:t>
      </w:r>
      <w:r w:rsidR="00FD2AC5">
        <w:fldChar w:fldCharType="begin"/>
      </w:r>
      <w:r w:rsidR="00FD2AC5">
        <w:instrText xml:space="preserve"> ADDIN EN.CITE &lt;EndNote&gt;&lt;Cite&gt;&lt;Author&gt;Arndt&lt;/Author&gt;&lt;Year&gt;2018&lt;/Year&gt;&lt;RecNum&gt;13483&lt;/RecNum&gt;&lt;DisplayText&gt;(22)&lt;/DisplayText&gt;&lt;record&gt;&lt;rec-number&gt;13483&lt;/rec-number&gt;&lt;foreign-keys&gt;&lt;key app="EN" db-id="xxzddr0vj0rrxjerpfrp0tf6s2v0swfx5efa" timestamp="1713054511"&gt;13483&lt;/key&gt;&lt;/foreign-keys&gt;&lt;ref-type name="Journal Article"&gt;17&lt;/ref-type&gt;&lt;contributors&gt;&lt;authors&gt;&lt;author&gt;Arndt, Joseph W.&lt;/author&gt;&lt;author&gt;Qian, Fang&lt;/author&gt;&lt;author&gt;Smith, Benjamin A.&lt;/author&gt;&lt;author&gt;Quan, Chao&lt;/author&gt;&lt;author&gt;Kilambi, Krishna Praneeth&lt;/author&gt;&lt;author&gt;Bush, Martin W.&lt;/author&gt;&lt;author&gt;Walz, Thomas&lt;/author&gt;&lt;author&gt;Pepinsky, R. Blake&lt;/author&gt;&lt;author&gt;Bussière, Thierry&lt;/author&gt;&lt;author&gt;Hamann, Stefan&lt;/author&gt;&lt;author&gt;Cameron, Thomas O.&lt;/author&gt;&lt;author&gt;Weinreb, Paul H.&lt;/author&gt;&lt;/authors&gt;&lt;/contributors&gt;&lt;titles&gt;&lt;title&gt;Structural and kinetic basis for the selectivity of aducanumab for aggregated forms of amyloid-β&lt;/title&gt;&lt;secondary-title&gt;Scientific Reports&lt;/secondary-title&gt;&lt;/titles&gt;&lt;periodical&gt;&lt;full-title&gt;Scientific Reports&lt;/full-title&gt;&lt;/periodical&gt;&lt;pages&gt;6412&lt;/pages&gt;&lt;volume&gt;8&lt;/volume&gt;&lt;number&gt;1&lt;/number&gt;&lt;dates&gt;&lt;year&gt;2018&lt;/year&gt;&lt;pub-dates&gt;&lt;date&gt;2018/04/23&lt;/date&gt;&lt;/pub-dates&gt;&lt;/dates&gt;&lt;isbn&gt;2045-2322&lt;/isbn&gt;&lt;urls&gt;&lt;related-urls&gt;&lt;url&gt;https://doi.org/10.1038/s41598-018-24501-0&lt;/url&gt;&lt;/related-urls&gt;&lt;/urls&gt;&lt;electronic-resource-num&gt;10.1038/s41598-018-24501-0&lt;/electronic-resource-num&gt;&lt;/record&gt;&lt;/Cite&gt;&lt;/EndNote&gt;</w:instrText>
      </w:r>
      <w:r w:rsidR="00FD2AC5">
        <w:fldChar w:fldCharType="separate"/>
      </w:r>
      <w:r w:rsidR="00FD2AC5">
        <w:t>(22)</w:t>
      </w:r>
      <w:r w:rsidR="00FD2AC5">
        <w:fldChar w:fldCharType="end"/>
      </w:r>
      <w:r w:rsidR="00FD2AC5">
        <w:t>.  Leveraging this information, we conducted modeling experiments focusing on Aducanumab, an Alzheimer's disease treatment that was previously withdrawn from the market. Our methodology involved pre-processing and standardizing the</w:t>
      </w:r>
      <w:r>
        <w:t xml:space="preserve"> available</w:t>
      </w:r>
      <w:r w:rsidR="00FD2AC5">
        <w:t xml:space="preserve"> antibody structure using UCSF Chimera</w:t>
      </w:r>
      <w:r>
        <w:t xml:space="preserve"> and</w:t>
      </w:r>
      <w:r w:rsidR="00FD2AC5">
        <w:t xml:space="preserve"> </w:t>
      </w:r>
      <w:r>
        <w:t xml:space="preserve">structure </w:t>
      </w:r>
      <w:proofErr w:type="spellStart"/>
      <w:r>
        <w:t>precition</w:t>
      </w:r>
      <w:proofErr w:type="spellEnd"/>
      <w:r>
        <w:t xml:space="preserve"> of transferrin attached to the light chain of Aducanumab via linker, by AlphaFold2. Amyloid-beta was then docked onto the constructs from AF2 </w:t>
      </w:r>
      <w:r w:rsidR="00FD2AC5">
        <w:t>using HADDOCK, both before and after linkage with transferrin via the (G4</w:t>
      </w:r>
      <w:proofErr w:type="gramStart"/>
      <w:r w:rsidR="00FD2AC5">
        <w:t>S)n</w:t>
      </w:r>
      <w:proofErr w:type="gramEnd"/>
      <w:r w:rsidR="00FD2AC5">
        <w:t xml:space="preserve"> linker. Subsequently, we evaluated binding affinity and interaction patterns through the PRODIGY server, with particular attention to the linker's length</w:t>
      </w:r>
      <w:r w:rsidR="00C57104">
        <w:t xml:space="preserve"> (Figure 1-5)</w:t>
      </w:r>
      <w:r w:rsidR="00FD2AC5">
        <w:t xml:space="preserve">. </w:t>
      </w:r>
    </w:p>
    <w:p w14:paraId="5AD67C46" w14:textId="0B46DD64" w:rsidR="00FD2AC5" w:rsidRDefault="008A110C" w:rsidP="00FD2AC5">
      <w:pPr>
        <w:pStyle w:val="MDPI31text"/>
        <w:ind w:left="0"/>
      </w:pPr>
      <w:r w:rsidRPr="008A110C">
        <w:t>The results of our protein-protein complex analysis reveal significant differences in binding affinity and interaction characteristics</w:t>
      </w:r>
      <w:r>
        <w:t xml:space="preserve"> (Table </w:t>
      </w:r>
      <w:r w:rsidR="00C57104">
        <w:t>1</w:t>
      </w:r>
      <w:r>
        <w:t>)</w:t>
      </w:r>
      <w:r w:rsidRPr="008A110C">
        <w:t>. For the Aducanumab-</w:t>
      </w:r>
      <w:proofErr w:type="spellStart"/>
      <w:r w:rsidRPr="008A110C">
        <w:t>Abeta</w:t>
      </w:r>
      <w:proofErr w:type="spellEnd"/>
      <w:r w:rsidRPr="008A110C">
        <w:t xml:space="preserve"> complex, the ΔG value was calculated at -18.1 kcal mol</w:t>
      </w:r>
      <w:r w:rsidRPr="00F962AA">
        <w:rPr>
          <w:vertAlign w:val="superscript"/>
        </w:rPr>
        <w:t>-1</w:t>
      </w:r>
      <w:r w:rsidRPr="008A110C">
        <w:t xml:space="preserve">, with a corresponding </w:t>
      </w:r>
      <w:proofErr w:type="spellStart"/>
      <w:r w:rsidRPr="008A110C">
        <w:t>Kd</w:t>
      </w:r>
      <w:proofErr w:type="spellEnd"/>
      <w:r w:rsidRPr="008A110C">
        <w:t xml:space="preserve"> of 5.10E</w:t>
      </w:r>
      <w:r w:rsidRPr="00F962AA">
        <w:rPr>
          <w:vertAlign w:val="superscript"/>
        </w:rPr>
        <w:t>-14</w:t>
      </w:r>
      <w:r w:rsidRPr="008A110C">
        <w:t xml:space="preserve"> M</w:t>
      </w:r>
      <w:r w:rsidRPr="008A110C">
        <w:rPr>
          <w:rFonts w:hint="eastAsia"/>
        </w:rPr>
        <w:t xml:space="preserve"> at </w:t>
      </w:r>
      <w:r w:rsidRPr="008A110C">
        <w:rPr>
          <w:rFonts w:ascii="Times New Roman" w:hAnsi="Times New Roman"/>
        </w:rPr>
        <w:t>℃</w:t>
      </w:r>
      <w:r w:rsidRPr="008A110C">
        <w:rPr>
          <w:rFonts w:hint="eastAsia"/>
        </w:rPr>
        <w:t xml:space="preserve">. The interface analysis demonstrated varying degrees of interactions, with notable contributions from charged-charged and </w:t>
      </w:r>
      <w:proofErr w:type="spellStart"/>
      <w:r w:rsidRPr="008A110C">
        <w:rPr>
          <w:rFonts w:hint="eastAsia"/>
        </w:rPr>
        <w:t>apolar-apolar</w:t>
      </w:r>
      <w:proofErr w:type="spellEnd"/>
      <w:r w:rsidRPr="008A110C">
        <w:rPr>
          <w:rFonts w:hint="eastAsia"/>
        </w:rPr>
        <w:t xml:space="preserve"> interactions. Upon conjugation with transferrin using different linkers, we observed enhanced binding affinity and altered interaction profiles. Specifically, the Transferrin-(G4S)</w:t>
      </w:r>
      <w:r w:rsidRPr="00F962AA">
        <w:rPr>
          <w:rFonts w:hint="eastAsia"/>
          <w:vertAlign w:val="subscript"/>
        </w:rPr>
        <w:t>3</w:t>
      </w:r>
      <w:r w:rsidRPr="008A110C">
        <w:rPr>
          <w:rFonts w:hint="eastAsia"/>
        </w:rPr>
        <w:t>-Aducanumab-Abeta complex exhibited the highest ΔG value (-29.2 kcal mol</w:t>
      </w:r>
      <w:r w:rsidRPr="00F962AA">
        <w:rPr>
          <w:rFonts w:hint="eastAsia"/>
          <w:vertAlign w:val="superscript"/>
        </w:rPr>
        <w:t>-1</w:t>
      </w:r>
      <w:r w:rsidRPr="008A110C">
        <w:rPr>
          <w:rFonts w:hint="eastAsia"/>
        </w:rPr>
        <w:t xml:space="preserve">) and the lowest </w:t>
      </w:r>
      <w:proofErr w:type="spellStart"/>
      <w:r w:rsidRPr="008A110C">
        <w:rPr>
          <w:rFonts w:hint="eastAsia"/>
        </w:rPr>
        <w:t>Kd</w:t>
      </w:r>
      <w:proofErr w:type="spellEnd"/>
      <w:r w:rsidRPr="008A110C">
        <w:rPr>
          <w:rFonts w:hint="eastAsia"/>
        </w:rPr>
        <w:t xml:space="preserve"> (4.10E</w:t>
      </w:r>
      <w:r w:rsidRPr="00F962AA">
        <w:rPr>
          <w:rFonts w:hint="eastAsia"/>
          <w:vertAlign w:val="superscript"/>
        </w:rPr>
        <w:t>-22</w:t>
      </w:r>
      <w:r w:rsidRPr="008A110C">
        <w:rPr>
          <w:rFonts w:hint="eastAsia"/>
        </w:rPr>
        <w:t xml:space="preserve"> M at </w:t>
      </w:r>
      <w:r w:rsidRPr="008A110C">
        <w:rPr>
          <w:rFonts w:ascii="Times New Roman" w:hAnsi="Times New Roman"/>
        </w:rPr>
        <w:t>℃</w:t>
      </w:r>
      <w:r w:rsidRPr="008A110C">
        <w:rPr>
          <w:rFonts w:hint="eastAsia"/>
        </w:rPr>
        <w:t>), indicative of stronger binding. Interface analysis further revealed increase</w:t>
      </w:r>
      <w:r w:rsidRPr="008A110C">
        <w:t>d interactions across all categories, particularly in polar-</w:t>
      </w:r>
      <w:proofErr w:type="spellStart"/>
      <w:r w:rsidRPr="008A110C">
        <w:t>apolar</w:t>
      </w:r>
      <w:proofErr w:type="spellEnd"/>
      <w:r w:rsidRPr="008A110C">
        <w:t xml:space="preserve"> and </w:t>
      </w:r>
      <w:proofErr w:type="spellStart"/>
      <w:r w:rsidRPr="008A110C">
        <w:t>apolar-apolar</w:t>
      </w:r>
      <w:proofErr w:type="spellEnd"/>
      <w:r w:rsidRPr="008A110C">
        <w:t xml:space="preserve"> interactions. These findings underscore the importance of linker length in modulating protein binding and highlight the potential of our approach for optimizing drug-protein interactions.</w:t>
      </w:r>
      <w:r>
        <w:t xml:space="preserve"> </w:t>
      </w:r>
      <w:r w:rsidR="00F962AA">
        <w:t>These findings</w:t>
      </w:r>
      <w:r w:rsidRPr="008A110C">
        <w:t xml:space="preserve"> underscore the critical role of linker length in modulating binding properties. Comparative analysis using (G4S) or (G4S)</w:t>
      </w:r>
      <w:r w:rsidRPr="00F962AA">
        <w:rPr>
          <w:vertAlign w:val="subscript"/>
        </w:rPr>
        <w:t>3</w:t>
      </w:r>
      <w:r w:rsidRPr="008A110C">
        <w:t xml:space="preserve"> linker</w:t>
      </w:r>
      <w:r w:rsidR="00F962AA">
        <w:t xml:space="preserve"> </w:t>
      </w:r>
      <w:r w:rsidR="00C57104">
        <w:t>has</w:t>
      </w:r>
      <w:r w:rsidRPr="008A110C">
        <w:t xml:space="preserve"> revealed superior flexibility with the latter, facilitating unimpeded binding to proteins with minimal steric hindrance around the amyloid-binding pocket. Furthermore, </w:t>
      </w:r>
      <w:r w:rsidR="00F962AA">
        <w:t>these</w:t>
      </w:r>
      <w:r w:rsidRPr="008A110C">
        <w:t xml:space="preserve"> findings indicate that linking the antibody's light chain with transferrin does not compromise antibody binding to brain proteins nor impede amyloid's accessibility to its binding domain.</w:t>
      </w:r>
    </w:p>
    <w:p w14:paraId="19BCBC40" w14:textId="788E9A2B" w:rsidR="00FD2AC5" w:rsidRDefault="00FD2AC5" w:rsidP="00FD2AC5">
      <w:pPr>
        <w:pStyle w:val="MDPI31text"/>
        <w:ind w:left="0"/>
      </w:pPr>
    </w:p>
    <w:p w14:paraId="726DD220" w14:textId="77777777" w:rsidR="0081529C" w:rsidRDefault="0081529C" w:rsidP="007C7E77">
      <w:pPr>
        <w:pStyle w:val="MDPI31text"/>
        <w:ind w:left="0" w:firstLine="0"/>
      </w:pPr>
    </w:p>
    <w:tbl>
      <w:tblPr>
        <w:tblStyle w:val="TableGrid"/>
        <w:tblW w:w="0" w:type="auto"/>
        <w:tblLook w:val="04A0" w:firstRow="1" w:lastRow="0" w:firstColumn="1" w:lastColumn="0" w:noHBand="0" w:noVBand="1"/>
      </w:tblPr>
      <w:tblGrid>
        <w:gridCol w:w="9016"/>
      </w:tblGrid>
      <w:tr w:rsidR="009D6F4E" w14:paraId="56A4FE3D" w14:textId="77777777" w:rsidTr="009D6F4E">
        <w:tc>
          <w:tcPr>
            <w:tcW w:w="9016" w:type="dxa"/>
          </w:tcPr>
          <w:p w14:paraId="507C9676" w14:textId="66D94189" w:rsidR="009D6F4E" w:rsidRDefault="009D6F4E" w:rsidP="00BB689B">
            <w:pPr>
              <w:pStyle w:val="MDPI31text"/>
              <w:ind w:left="0" w:firstLine="0"/>
            </w:pPr>
            <w:r w:rsidRPr="0051369A">
              <w:rPr>
                <w:noProof/>
              </w:rPr>
              <w:drawing>
                <wp:anchor distT="0" distB="0" distL="114300" distR="114300" simplePos="0" relativeHeight="251659264" behindDoc="0" locked="0" layoutInCell="1" allowOverlap="1" wp14:anchorId="37B3FF95" wp14:editId="338D06B2">
                  <wp:simplePos x="0" y="0"/>
                  <wp:positionH relativeFrom="margin">
                    <wp:posOffset>-65405</wp:posOffset>
                  </wp:positionH>
                  <wp:positionV relativeFrom="margin">
                    <wp:posOffset>62230</wp:posOffset>
                  </wp:positionV>
                  <wp:extent cx="5748655" cy="2296795"/>
                  <wp:effectExtent l="0" t="0" r="444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8655" cy="2296795"/>
                          </a:xfrm>
                          <a:prstGeom prst="rect">
                            <a:avLst/>
                          </a:prstGeom>
                        </pic:spPr>
                      </pic:pic>
                    </a:graphicData>
                  </a:graphic>
                  <wp14:sizeRelH relativeFrom="margin">
                    <wp14:pctWidth>0</wp14:pctWidth>
                  </wp14:sizeRelH>
                  <wp14:sizeRelV relativeFrom="margin">
                    <wp14:pctHeight>0</wp14:pctHeight>
                  </wp14:sizeRelV>
                </wp:anchor>
              </w:drawing>
            </w:r>
          </w:p>
        </w:tc>
      </w:tr>
    </w:tbl>
    <w:p w14:paraId="1F71D804" w14:textId="1B92B93E" w:rsidR="00BB689B" w:rsidRDefault="00BB689B" w:rsidP="00BB689B">
      <w:pPr>
        <w:pStyle w:val="MDPI31text"/>
        <w:ind w:left="0"/>
      </w:pPr>
    </w:p>
    <w:p w14:paraId="53566FC1" w14:textId="3C001CB8" w:rsidR="00BB689B" w:rsidRDefault="00BB689B" w:rsidP="0051369A">
      <w:pPr>
        <w:pStyle w:val="MDPI31text"/>
        <w:ind w:left="0"/>
      </w:pPr>
      <w:r w:rsidRPr="00CA1AB4">
        <w:rPr>
          <w:noProof/>
        </w:rPr>
        <w:t xml:space="preserve"> </w:t>
      </w:r>
      <w:r w:rsidRPr="00CA1AB4">
        <w:t xml:space="preserve">Figure </w:t>
      </w:r>
      <w:r w:rsidR="00C57104">
        <w:t>1</w:t>
      </w:r>
      <w:r w:rsidRPr="00CA1AB4">
        <w:t>. Amyloid-beta (</w:t>
      </w:r>
      <w:r w:rsidR="0051369A">
        <w:t>blue</w:t>
      </w:r>
      <w:r w:rsidRPr="00CA1AB4">
        <w:t>) bound to Aducanumab (</w:t>
      </w:r>
      <w:r w:rsidR="0051369A">
        <w:t>tan</w:t>
      </w:r>
      <w:r w:rsidRPr="00CA1AB4">
        <w:t>)</w:t>
      </w:r>
    </w:p>
    <w:tbl>
      <w:tblPr>
        <w:tblStyle w:val="TableGrid"/>
        <w:tblW w:w="0" w:type="auto"/>
        <w:tblLook w:val="04A0" w:firstRow="1" w:lastRow="0" w:firstColumn="1" w:lastColumn="0" w:noHBand="0" w:noVBand="1"/>
      </w:tblPr>
      <w:tblGrid>
        <w:gridCol w:w="9016"/>
      </w:tblGrid>
      <w:tr w:rsidR="00B104FB" w14:paraId="256E5438" w14:textId="77777777" w:rsidTr="00B104FB">
        <w:tc>
          <w:tcPr>
            <w:tcW w:w="9016" w:type="dxa"/>
          </w:tcPr>
          <w:p w14:paraId="46D646FE" w14:textId="43F7518D" w:rsidR="00B104FB" w:rsidRDefault="00B104FB" w:rsidP="0051369A">
            <w:pPr>
              <w:pStyle w:val="MDPI31text"/>
              <w:ind w:left="0" w:firstLine="0"/>
            </w:pPr>
            <w:r w:rsidRPr="00B104FB">
              <w:rPr>
                <w:noProof/>
              </w:rPr>
              <w:lastRenderedPageBreak/>
              <w:drawing>
                <wp:inline distT="0" distB="0" distL="0" distR="0" wp14:anchorId="0200612C" wp14:editId="493376B5">
                  <wp:extent cx="5569527" cy="306614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0987" cy="3072449"/>
                          </a:xfrm>
                          <a:prstGeom prst="rect">
                            <a:avLst/>
                          </a:prstGeom>
                        </pic:spPr>
                      </pic:pic>
                    </a:graphicData>
                  </a:graphic>
                </wp:inline>
              </w:drawing>
            </w:r>
          </w:p>
        </w:tc>
      </w:tr>
      <w:tr w:rsidR="00B104FB" w14:paraId="18DAA255" w14:textId="77777777" w:rsidTr="00B104FB">
        <w:tc>
          <w:tcPr>
            <w:tcW w:w="9016" w:type="dxa"/>
          </w:tcPr>
          <w:p w14:paraId="14A1A8EF" w14:textId="6F8BFC58" w:rsidR="00B104FB" w:rsidRDefault="00F00D1C" w:rsidP="0051369A">
            <w:pPr>
              <w:pStyle w:val="MDPI31text"/>
              <w:ind w:left="0" w:firstLine="0"/>
            </w:pPr>
            <w:r w:rsidRPr="00F00D1C">
              <w:rPr>
                <w:noProof/>
              </w:rPr>
              <w:drawing>
                <wp:inline distT="0" distB="0" distL="0" distR="0" wp14:anchorId="685CA83D" wp14:editId="45AF1822">
                  <wp:extent cx="5731510" cy="31178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17850"/>
                          </a:xfrm>
                          <a:prstGeom prst="rect">
                            <a:avLst/>
                          </a:prstGeom>
                        </pic:spPr>
                      </pic:pic>
                    </a:graphicData>
                  </a:graphic>
                </wp:inline>
              </w:drawing>
            </w:r>
          </w:p>
        </w:tc>
      </w:tr>
    </w:tbl>
    <w:p w14:paraId="6C9075B9" w14:textId="77777777" w:rsidR="00B104FB" w:rsidRDefault="00B104FB" w:rsidP="0051369A">
      <w:pPr>
        <w:pStyle w:val="MDPI31text"/>
        <w:ind w:left="0"/>
      </w:pPr>
    </w:p>
    <w:p w14:paraId="3F753BA1" w14:textId="0D164975" w:rsidR="00BB689B" w:rsidRDefault="00BB689B" w:rsidP="00BB689B">
      <w:pPr>
        <w:pStyle w:val="MDPI51figurecaption"/>
        <w:ind w:left="0"/>
      </w:pPr>
      <w:r w:rsidRPr="00DF472B">
        <w:t xml:space="preserve">Figure </w:t>
      </w:r>
      <w:r w:rsidR="00C57104">
        <w:t>2</w:t>
      </w:r>
      <w:r w:rsidRPr="00DF472B">
        <w:t>. Amyloid-beta (blue) bound to Transferrin-Aducanumab complex</w:t>
      </w:r>
      <w:r>
        <w:t xml:space="preserve"> </w:t>
      </w:r>
      <w:r w:rsidR="0081529C">
        <w:t xml:space="preserve">(tan) </w:t>
      </w:r>
      <w:r w:rsidRPr="00DF472B">
        <w:t xml:space="preserve">bound by long-linker </w:t>
      </w:r>
      <w:r>
        <w:t>(G4S)</w:t>
      </w:r>
      <w:r w:rsidRPr="00026B72">
        <w:rPr>
          <w:vertAlign w:val="subscript"/>
        </w:rPr>
        <w:t>3</w:t>
      </w:r>
      <w:r>
        <w:t xml:space="preserve"> </w:t>
      </w:r>
      <w:r w:rsidRPr="00DF472B">
        <w:t>(</w:t>
      </w:r>
      <w:r w:rsidR="0081529C">
        <w:t>green</w:t>
      </w:r>
      <w:r w:rsidRPr="00DF472B">
        <w:t>)</w:t>
      </w:r>
    </w:p>
    <w:tbl>
      <w:tblPr>
        <w:tblStyle w:val="TableGrid"/>
        <w:tblW w:w="0" w:type="auto"/>
        <w:tblLook w:val="04A0" w:firstRow="1" w:lastRow="0" w:firstColumn="1" w:lastColumn="0" w:noHBand="0" w:noVBand="1"/>
      </w:tblPr>
      <w:tblGrid>
        <w:gridCol w:w="9016"/>
      </w:tblGrid>
      <w:tr w:rsidR="0081529C" w14:paraId="78E2133D" w14:textId="77777777" w:rsidTr="0081529C">
        <w:tc>
          <w:tcPr>
            <w:tcW w:w="9016" w:type="dxa"/>
          </w:tcPr>
          <w:p w14:paraId="06C97033" w14:textId="26D840B8" w:rsidR="0081529C" w:rsidRDefault="00F00D1C" w:rsidP="00BB689B">
            <w:pPr>
              <w:pStyle w:val="MDPI51figurecaption"/>
              <w:ind w:left="0"/>
            </w:pPr>
            <w:r w:rsidRPr="00F00D1C">
              <w:rPr>
                <w:noProof/>
              </w:rPr>
              <w:lastRenderedPageBreak/>
              <w:drawing>
                <wp:inline distT="0" distB="0" distL="0" distR="0" wp14:anchorId="5137A20B" wp14:editId="506BFE95">
                  <wp:extent cx="5519405" cy="2990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3185" cy="2992899"/>
                          </a:xfrm>
                          <a:prstGeom prst="rect">
                            <a:avLst/>
                          </a:prstGeom>
                        </pic:spPr>
                      </pic:pic>
                    </a:graphicData>
                  </a:graphic>
                </wp:inline>
              </w:drawing>
            </w:r>
          </w:p>
        </w:tc>
      </w:tr>
    </w:tbl>
    <w:p w14:paraId="658B68B7" w14:textId="242EA507" w:rsidR="0081529C" w:rsidRDefault="0081529C" w:rsidP="00BB689B">
      <w:pPr>
        <w:pStyle w:val="MDPI51figurecaption"/>
        <w:ind w:left="0"/>
        <w:rPr>
          <w:vertAlign w:val="subscript"/>
        </w:rPr>
      </w:pPr>
      <w:r w:rsidRPr="00DF472B">
        <w:t xml:space="preserve">Figure </w:t>
      </w:r>
      <w:r w:rsidR="00C57104">
        <w:t>3</w:t>
      </w:r>
      <w:r w:rsidRPr="00DF472B">
        <w:t>. Amyloid-beta</w:t>
      </w:r>
      <w:r w:rsidR="00E44FA0">
        <w:t xml:space="preserve"> (blue)</w:t>
      </w:r>
      <w:r w:rsidRPr="00DF472B">
        <w:t xml:space="preserve"> </w:t>
      </w:r>
      <w:r w:rsidR="00083BCC">
        <w:t xml:space="preserve">interacting residues with </w:t>
      </w:r>
      <w:r w:rsidR="00E44FA0" w:rsidRPr="00DF472B">
        <w:t>Transferrin-Aducanumab complex</w:t>
      </w:r>
      <w:r w:rsidR="00E44FA0">
        <w:t xml:space="preserve"> (tan) </w:t>
      </w:r>
      <w:r w:rsidR="00E44FA0" w:rsidRPr="00DF472B">
        <w:t xml:space="preserve">bound by long-linker </w:t>
      </w:r>
      <w:r w:rsidR="00E44FA0">
        <w:t>(G4S)</w:t>
      </w:r>
      <w:r w:rsidR="00E44FA0" w:rsidRPr="00026B72">
        <w:rPr>
          <w:vertAlign w:val="subscript"/>
        </w:rPr>
        <w:t>3</w:t>
      </w:r>
    </w:p>
    <w:tbl>
      <w:tblPr>
        <w:tblStyle w:val="TableGrid"/>
        <w:tblW w:w="0" w:type="auto"/>
        <w:tblLook w:val="04A0" w:firstRow="1" w:lastRow="0" w:firstColumn="1" w:lastColumn="0" w:noHBand="0" w:noVBand="1"/>
      </w:tblPr>
      <w:tblGrid>
        <w:gridCol w:w="9016"/>
      </w:tblGrid>
      <w:tr w:rsidR="002413ED" w14:paraId="38F2B1AC" w14:textId="77777777" w:rsidTr="002413ED">
        <w:tc>
          <w:tcPr>
            <w:tcW w:w="9016" w:type="dxa"/>
          </w:tcPr>
          <w:p w14:paraId="4C356F11" w14:textId="688582B5" w:rsidR="002413ED" w:rsidRDefault="00083BCC" w:rsidP="00BB689B">
            <w:pPr>
              <w:pStyle w:val="MDPI51figurecaption"/>
              <w:ind w:left="0"/>
              <w:rPr>
                <w:vertAlign w:val="subscript"/>
              </w:rPr>
            </w:pPr>
            <w:r w:rsidRPr="00083BCC">
              <w:rPr>
                <w:noProof/>
                <w:vertAlign w:val="subscript"/>
              </w:rPr>
              <w:drawing>
                <wp:inline distT="0" distB="0" distL="0" distR="0" wp14:anchorId="64F4559C" wp14:editId="0C85252E">
                  <wp:extent cx="5731510" cy="3978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78275"/>
                          </a:xfrm>
                          <a:prstGeom prst="rect">
                            <a:avLst/>
                          </a:prstGeom>
                        </pic:spPr>
                      </pic:pic>
                    </a:graphicData>
                  </a:graphic>
                </wp:inline>
              </w:drawing>
            </w:r>
          </w:p>
        </w:tc>
      </w:tr>
      <w:tr w:rsidR="002413ED" w14:paraId="26073BBB" w14:textId="77777777" w:rsidTr="002413ED">
        <w:tc>
          <w:tcPr>
            <w:tcW w:w="9016" w:type="dxa"/>
          </w:tcPr>
          <w:p w14:paraId="5196ECCC" w14:textId="68911CA3" w:rsidR="002413ED" w:rsidRDefault="00083BCC" w:rsidP="00BB689B">
            <w:pPr>
              <w:pStyle w:val="MDPI51figurecaption"/>
              <w:ind w:left="0"/>
              <w:rPr>
                <w:vertAlign w:val="subscript"/>
              </w:rPr>
            </w:pPr>
            <w:r w:rsidRPr="00083BCC">
              <w:rPr>
                <w:noProof/>
                <w:vertAlign w:val="subscript"/>
              </w:rPr>
              <w:lastRenderedPageBreak/>
              <w:drawing>
                <wp:inline distT="0" distB="0" distL="0" distR="0" wp14:anchorId="22048A0F" wp14:editId="23312A0F">
                  <wp:extent cx="5731510" cy="41306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30675"/>
                          </a:xfrm>
                          <a:prstGeom prst="rect">
                            <a:avLst/>
                          </a:prstGeom>
                        </pic:spPr>
                      </pic:pic>
                    </a:graphicData>
                  </a:graphic>
                </wp:inline>
              </w:drawing>
            </w:r>
          </w:p>
        </w:tc>
      </w:tr>
    </w:tbl>
    <w:p w14:paraId="021416F8" w14:textId="71B9E7E9" w:rsidR="00083BCC" w:rsidRDefault="00BB689B" w:rsidP="00BB689B">
      <w:pPr>
        <w:pStyle w:val="MDPI51figurecaption"/>
        <w:ind w:left="0"/>
      </w:pPr>
      <w:r w:rsidRPr="00DF472B">
        <w:t xml:space="preserve">Figure </w:t>
      </w:r>
      <w:r w:rsidR="00C57104">
        <w:t>4</w:t>
      </w:r>
      <w:r w:rsidRPr="00DF472B">
        <w:t>. Amyloid-beta (</w:t>
      </w:r>
      <w:r w:rsidR="00083BCC">
        <w:t>blue</w:t>
      </w:r>
      <w:r w:rsidRPr="00DF472B">
        <w:t xml:space="preserve">) </w:t>
      </w:r>
      <w:r>
        <w:t xml:space="preserve">is </w:t>
      </w:r>
      <w:r w:rsidRPr="00DF472B">
        <w:t xml:space="preserve">bound to </w:t>
      </w:r>
      <w:r>
        <w:t xml:space="preserve">the </w:t>
      </w:r>
      <w:r w:rsidRPr="00DF472B">
        <w:t xml:space="preserve">Transferrin-Aducanumab complex </w:t>
      </w:r>
      <w:r w:rsidR="00083BCC">
        <w:t xml:space="preserve">(tan) </w:t>
      </w:r>
      <w:r>
        <w:t xml:space="preserve">and is </w:t>
      </w:r>
      <w:r w:rsidRPr="00DF472B">
        <w:t xml:space="preserve">bound by </w:t>
      </w:r>
      <w:r>
        <w:t xml:space="preserve">a </w:t>
      </w:r>
      <w:r w:rsidRPr="00DF472B">
        <w:t xml:space="preserve">short-linker </w:t>
      </w:r>
      <w:r>
        <w:t xml:space="preserve">(G4S) </w:t>
      </w:r>
      <w:r w:rsidRPr="00DF472B">
        <w:t>(</w:t>
      </w:r>
      <w:r w:rsidR="00083BCC">
        <w:t>green</w:t>
      </w:r>
      <w:r w:rsidRPr="00DF472B">
        <w:t>)</w:t>
      </w:r>
    </w:p>
    <w:tbl>
      <w:tblPr>
        <w:tblStyle w:val="TableGrid"/>
        <w:tblW w:w="0" w:type="auto"/>
        <w:tblLook w:val="04A0" w:firstRow="1" w:lastRow="0" w:firstColumn="1" w:lastColumn="0" w:noHBand="0" w:noVBand="1"/>
      </w:tblPr>
      <w:tblGrid>
        <w:gridCol w:w="9016"/>
      </w:tblGrid>
      <w:tr w:rsidR="00083BCC" w14:paraId="03C92492" w14:textId="77777777" w:rsidTr="00083BCC">
        <w:tc>
          <w:tcPr>
            <w:tcW w:w="9016" w:type="dxa"/>
          </w:tcPr>
          <w:p w14:paraId="292822BB" w14:textId="5A4ABA8C" w:rsidR="00083BCC" w:rsidRDefault="00091D90" w:rsidP="00BB689B">
            <w:pPr>
              <w:pStyle w:val="MDPI51figurecaption"/>
              <w:ind w:left="0"/>
            </w:pPr>
            <w:r w:rsidRPr="00091D90">
              <w:rPr>
                <w:noProof/>
              </w:rPr>
              <w:drawing>
                <wp:inline distT="0" distB="0" distL="0" distR="0" wp14:anchorId="7FE375FB" wp14:editId="7A73637D">
                  <wp:extent cx="5555155" cy="305492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12"/>
                          <a:stretch/>
                        </pic:blipFill>
                        <pic:spPr bwMode="auto">
                          <a:xfrm>
                            <a:off x="0" y="0"/>
                            <a:ext cx="5557967" cy="30564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0364E4" w14:textId="77777777" w:rsidR="00083BCC" w:rsidRDefault="00083BCC" w:rsidP="00BB689B">
      <w:pPr>
        <w:pStyle w:val="MDPI51figurecaption"/>
        <w:ind w:left="0"/>
      </w:pPr>
    </w:p>
    <w:p w14:paraId="0B452443" w14:textId="79D8CE56" w:rsidR="00083BCC" w:rsidRDefault="00083BCC" w:rsidP="00083BCC">
      <w:pPr>
        <w:pStyle w:val="MDPI51figurecaption"/>
        <w:ind w:left="0"/>
        <w:rPr>
          <w:vertAlign w:val="subscript"/>
        </w:rPr>
      </w:pPr>
      <w:r w:rsidRPr="00DF472B">
        <w:t xml:space="preserve">Figure </w:t>
      </w:r>
      <w:r w:rsidR="00C57104">
        <w:t>5</w:t>
      </w:r>
      <w:r w:rsidRPr="00DF472B">
        <w:t>. Amyloid-beta</w:t>
      </w:r>
      <w:r>
        <w:t xml:space="preserve"> (blue)</w:t>
      </w:r>
      <w:r w:rsidRPr="00DF472B">
        <w:t xml:space="preserve"> </w:t>
      </w:r>
      <w:r>
        <w:t xml:space="preserve">interacting residues with </w:t>
      </w:r>
      <w:r w:rsidRPr="00DF472B">
        <w:t>Transferrin-Aducanumab complex</w:t>
      </w:r>
      <w:r>
        <w:t xml:space="preserve"> (tan) </w:t>
      </w:r>
      <w:r w:rsidRPr="00DF472B">
        <w:t xml:space="preserve">bound by long-linker </w:t>
      </w:r>
      <w:r>
        <w:t>(G4S)</w:t>
      </w:r>
    </w:p>
    <w:tbl>
      <w:tblPr>
        <w:tblpPr w:leftFromText="180" w:rightFromText="180" w:vertAnchor="text" w:horzAnchor="margin" w:tblpXSpec="center" w:tblpY="49"/>
        <w:tblW w:w="11320" w:type="dxa"/>
        <w:tblLook w:val="04A0" w:firstRow="1" w:lastRow="0" w:firstColumn="1" w:lastColumn="0" w:noHBand="0" w:noVBand="1"/>
      </w:tblPr>
      <w:tblGrid>
        <w:gridCol w:w="1694"/>
        <w:gridCol w:w="725"/>
        <w:gridCol w:w="916"/>
        <w:gridCol w:w="1125"/>
        <w:gridCol w:w="1125"/>
        <w:gridCol w:w="1125"/>
        <w:gridCol w:w="842"/>
        <w:gridCol w:w="881"/>
        <w:gridCol w:w="958"/>
        <w:gridCol w:w="1048"/>
        <w:gridCol w:w="881"/>
      </w:tblGrid>
      <w:tr w:rsidR="00DE422E" w:rsidRPr="00DE422E" w14:paraId="43AF1C9B" w14:textId="77777777" w:rsidTr="00DE422E">
        <w:trPr>
          <w:trHeight w:val="731"/>
        </w:trPr>
        <w:tc>
          <w:tcPr>
            <w:tcW w:w="16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B15EA65"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lastRenderedPageBreak/>
              <w:t>Protein-protein complex</w:t>
            </w:r>
          </w:p>
        </w:tc>
        <w:tc>
          <w:tcPr>
            <w:tcW w:w="725" w:type="dxa"/>
            <w:tcBorders>
              <w:top w:val="single" w:sz="4" w:space="0" w:color="auto"/>
              <w:left w:val="nil"/>
              <w:bottom w:val="single" w:sz="4" w:space="0" w:color="auto"/>
              <w:right w:val="single" w:sz="4" w:space="0" w:color="auto"/>
            </w:tcBorders>
            <w:shd w:val="clear" w:color="000000" w:fill="FFFFFF"/>
            <w:vAlign w:val="center"/>
            <w:hideMark/>
          </w:tcPr>
          <w:p w14:paraId="12CE10F7"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ΔG (kcal mol</w:t>
            </w:r>
            <w:r w:rsidRPr="00DE422E">
              <w:rPr>
                <w:rFonts w:eastAsia="Times New Roman"/>
                <w:b/>
                <w:bCs/>
                <w:sz w:val="22"/>
                <w:szCs w:val="22"/>
                <w:vertAlign w:val="superscript"/>
                <w:lang w:val="en-GB" w:eastAsia="en-GB"/>
              </w:rPr>
              <w:t>-1</w:t>
            </w:r>
            <w:r w:rsidRPr="00DE422E">
              <w:rPr>
                <w:rFonts w:eastAsia="Times New Roman"/>
                <w:b/>
                <w:bCs/>
                <w:sz w:val="22"/>
                <w:szCs w:val="22"/>
                <w:lang w:val="en-GB" w:eastAsia="en-GB"/>
              </w:rPr>
              <w:t>)</w:t>
            </w:r>
          </w:p>
        </w:tc>
        <w:tc>
          <w:tcPr>
            <w:tcW w:w="916" w:type="dxa"/>
            <w:tcBorders>
              <w:top w:val="single" w:sz="4" w:space="0" w:color="auto"/>
              <w:left w:val="nil"/>
              <w:bottom w:val="single" w:sz="4" w:space="0" w:color="auto"/>
              <w:right w:val="single" w:sz="4" w:space="0" w:color="auto"/>
            </w:tcBorders>
            <w:shd w:val="clear" w:color="000000" w:fill="FFFFFF"/>
            <w:vAlign w:val="center"/>
            <w:hideMark/>
          </w:tcPr>
          <w:p w14:paraId="066D9958" w14:textId="77777777" w:rsidR="00DE422E" w:rsidRPr="00DE422E" w:rsidRDefault="00DE422E" w:rsidP="00DE422E">
            <w:pPr>
              <w:spacing w:line="240" w:lineRule="auto"/>
              <w:jc w:val="left"/>
              <w:rPr>
                <w:rFonts w:eastAsia="Times New Roman"/>
                <w:b/>
                <w:bCs/>
                <w:sz w:val="22"/>
                <w:szCs w:val="22"/>
                <w:lang w:val="en-GB" w:eastAsia="en-GB"/>
              </w:rPr>
            </w:pPr>
            <w:proofErr w:type="spellStart"/>
            <w:r w:rsidRPr="00DE422E">
              <w:rPr>
                <w:rFonts w:eastAsia="Times New Roman"/>
                <w:b/>
                <w:bCs/>
                <w:sz w:val="22"/>
                <w:szCs w:val="22"/>
                <w:lang w:val="en-GB" w:eastAsia="en-GB"/>
              </w:rPr>
              <w:t>K</w:t>
            </w:r>
            <w:r w:rsidRPr="00DE422E">
              <w:rPr>
                <w:rFonts w:eastAsia="Times New Roman"/>
                <w:b/>
                <w:bCs/>
                <w:sz w:val="22"/>
                <w:szCs w:val="22"/>
                <w:vertAlign w:val="subscript"/>
                <w:lang w:val="en-GB" w:eastAsia="en-GB"/>
              </w:rPr>
              <w:t>d</w:t>
            </w:r>
            <w:proofErr w:type="spellEnd"/>
            <w:r w:rsidRPr="00DE422E">
              <w:rPr>
                <w:rFonts w:eastAsia="Times New Roman"/>
                <w:b/>
                <w:bCs/>
                <w:sz w:val="22"/>
                <w:szCs w:val="22"/>
                <w:lang w:val="en-GB" w:eastAsia="en-GB"/>
              </w:rPr>
              <w:t xml:space="preserve"> (M) at </w:t>
            </w:r>
            <w:r w:rsidRPr="00DE422E">
              <w:rPr>
                <w:rFonts w:ascii="Times New Roman" w:eastAsia="Times New Roman" w:hAnsi="Times New Roman"/>
                <w:b/>
                <w:bCs/>
                <w:sz w:val="22"/>
                <w:szCs w:val="22"/>
                <w:lang w:val="en-GB" w:eastAsia="en-GB"/>
              </w:rPr>
              <w:t>℃</w:t>
            </w:r>
          </w:p>
        </w:tc>
        <w:tc>
          <w:tcPr>
            <w:tcW w:w="1125" w:type="dxa"/>
            <w:tcBorders>
              <w:top w:val="single" w:sz="4" w:space="0" w:color="auto"/>
              <w:left w:val="nil"/>
              <w:bottom w:val="single" w:sz="4" w:space="0" w:color="auto"/>
              <w:right w:val="single" w:sz="4" w:space="0" w:color="auto"/>
            </w:tcBorders>
            <w:shd w:val="clear" w:color="000000" w:fill="FFFFFF"/>
            <w:vAlign w:val="center"/>
            <w:hideMark/>
          </w:tcPr>
          <w:p w14:paraId="35A06EA1"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ICs charged-charged</w:t>
            </w:r>
          </w:p>
        </w:tc>
        <w:tc>
          <w:tcPr>
            <w:tcW w:w="1125" w:type="dxa"/>
            <w:tcBorders>
              <w:top w:val="single" w:sz="4" w:space="0" w:color="auto"/>
              <w:left w:val="nil"/>
              <w:bottom w:val="single" w:sz="4" w:space="0" w:color="auto"/>
              <w:right w:val="single" w:sz="4" w:space="0" w:color="auto"/>
            </w:tcBorders>
            <w:shd w:val="clear" w:color="000000" w:fill="FFFFFF"/>
            <w:vAlign w:val="center"/>
            <w:hideMark/>
          </w:tcPr>
          <w:p w14:paraId="66C0F007"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ICs charged-polar</w:t>
            </w:r>
          </w:p>
        </w:tc>
        <w:tc>
          <w:tcPr>
            <w:tcW w:w="1125" w:type="dxa"/>
            <w:tcBorders>
              <w:top w:val="single" w:sz="4" w:space="0" w:color="auto"/>
              <w:left w:val="nil"/>
              <w:bottom w:val="single" w:sz="4" w:space="0" w:color="auto"/>
              <w:right w:val="single" w:sz="4" w:space="0" w:color="auto"/>
            </w:tcBorders>
            <w:shd w:val="clear" w:color="000000" w:fill="FFFFFF"/>
            <w:vAlign w:val="center"/>
            <w:hideMark/>
          </w:tcPr>
          <w:p w14:paraId="12C518B5"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ICs charged-</w:t>
            </w:r>
            <w:proofErr w:type="spellStart"/>
            <w:r w:rsidRPr="00DE422E">
              <w:rPr>
                <w:rFonts w:eastAsia="Times New Roman"/>
                <w:b/>
                <w:bCs/>
                <w:sz w:val="22"/>
                <w:szCs w:val="22"/>
                <w:lang w:val="en-GB" w:eastAsia="en-GB"/>
              </w:rPr>
              <w:t>apolar</w:t>
            </w:r>
            <w:proofErr w:type="spellEnd"/>
          </w:p>
        </w:tc>
        <w:tc>
          <w:tcPr>
            <w:tcW w:w="842" w:type="dxa"/>
            <w:tcBorders>
              <w:top w:val="single" w:sz="4" w:space="0" w:color="auto"/>
              <w:left w:val="nil"/>
              <w:bottom w:val="single" w:sz="4" w:space="0" w:color="auto"/>
              <w:right w:val="single" w:sz="4" w:space="0" w:color="auto"/>
            </w:tcBorders>
            <w:shd w:val="clear" w:color="000000" w:fill="FFFFFF"/>
            <w:vAlign w:val="center"/>
            <w:hideMark/>
          </w:tcPr>
          <w:p w14:paraId="2E519B44"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ICs polar-polar</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14:paraId="0BBE4C6F"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ICs polar-</w:t>
            </w:r>
            <w:proofErr w:type="spellStart"/>
            <w:r w:rsidRPr="00DE422E">
              <w:rPr>
                <w:rFonts w:eastAsia="Times New Roman"/>
                <w:b/>
                <w:bCs/>
                <w:sz w:val="22"/>
                <w:szCs w:val="22"/>
                <w:lang w:val="en-GB" w:eastAsia="en-GB"/>
              </w:rPr>
              <w:t>apolar</w:t>
            </w:r>
            <w:proofErr w:type="spellEnd"/>
          </w:p>
        </w:tc>
        <w:tc>
          <w:tcPr>
            <w:tcW w:w="958" w:type="dxa"/>
            <w:tcBorders>
              <w:top w:val="single" w:sz="4" w:space="0" w:color="auto"/>
              <w:left w:val="nil"/>
              <w:bottom w:val="single" w:sz="4" w:space="0" w:color="auto"/>
              <w:right w:val="single" w:sz="4" w:space="0" w:color="auto"/>
            </w:tcBorders>
            <w:shd w:val="clear" w:color="000000" w:fill="FFFFFF"/>
            <w:vAlign w:val="center"/>
            <w:hideMark/>
          </w:tcPr>
          <w:p w14:paraId="1E86F1CD"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 xml:space="preserve">ICs </w:t>
            </w:r>
            <w:proofErr w:type="spellStart"/>
            <w:r w:rsidRPr="00DE422E">
              <w:rPr>
                <w:rFonts w:eastAsia="Times New Roman"/>
                <w:b/>
                <w:bCs/>
                <w:sz w:val="22"/>
                <w:szCs w:val="22"/>
                <w:lang w:val="en-GB" w:eastAsia="en-GB"/>
              </w:rPr>
              <w:t>apolar-apolar</w:t>
            </w:r>
            <w:proofErr w:type="spellEnd"/>
          </w:p>
        </w:tc>
        <w:tc>
          <w:tcPr>
            <w:tcW w:w="1048" w:type="dxa"/>
            <w:tcBorders>
              <w:top w:val="single" w:sz="4" w:space="0" w:color="auto"/>
              <w:left w:val="nil"/>
              <w:bottom w:val="single" w:sz="4" w:space="0" w:color="auto"/>
              <w:right w:val="single" w:sz="4" w:space="0" w:color="auto"/>
            </w:tcBorders>
            <w:shd w:val="clear" w:color="000000" w:fill="FFFFFF"/>
            <w:vAlign w:val="center"/>
            <w:hideMark/>
          </w:tcPr>
          <w:p w14:paraId="39F71725"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NIS charged</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14:paraId="573FBFD4" w14:textId="77777777" w:rsidR="00DE422E" w:rsidRPr="00DE422E" w:rsidRDefault="00DE422E" w:rsidP="00DE422E">
            <w:pPr>
              <w:spacing w:line="240" w:lineRule="auto"/>
              <w:jc w:val="left"/>
              <w:rPr>
                <w:rFonts w:eastAsia="Times New Roman"/>
                <w:b/>
                <w:bCs/>
                <w:sz w:val="22"/>
                <w:szCs w:val="22"/>
                <w:lang w:val="en-GB" w:eastAsia="en-GB"/>
              </w:rPr>
            </w:pPr>
            <w:r w:rsidRPr="00DE422E">
              <w:rPr>
                <w:rFonts w:eastAsia="Times New Roman"/>
                <w:b/>
                <w:bCs/>
                <w:sz w:val="22"/>
                <w:szCs w:val="22"/>
                <w:lang w:val="en-GB" w:eastAsia="en-GB"/>
              </w:rPr>
              <w:t xml:space="preserve">NIS </w:t>
            </w:r>
            <w:proofErr w:type="spellStart"/>
            <w:r w:rsidRPr="00DE422E">
              <w:rPr>
                <w:rFonts w:eastAsia="Times New Roman"/>
                <w:b/>
                <w:bCs/>
                <w:sz w:val="22"/>
                <w:szCs w:val="22"/>
                <w:lang w:val="en-GB" w:eastAsia="en-GB"/>
              </w:rPr>
              <w:t>apolar</w:t>
            </w:r>
            <w:proofErr w:type="spellEnd"/>
          </w:p>
        </w:tc>
      </w:tr>
      <w:tr w:rsidR="00DE422E" w:rsidRPr="00DE422E" w14:paraId="33A6D333" w14:textId="77777777" w:rsidTr="00DE422E">
        <w:trPr>
          <w:trHeight w:val="243"/>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2FE93210" w14:textId="77777777" w:rsidR="00DE422E" w:rsidRPr="00DE422E" w:rsidRDefault="00DE422E" w:rsidP="00DE422E">
            <w:pPr>
              <w:spacing w:line="240" w:lineRule="auto"/>
              <w:jc w:val="left"/>
              <w:rPr>
                <w:rFonts w:eastAsia="Times New Roman"/>
                <w:sz w:val="22"/>
                <w:szCs w:val="22"/>
                <w:lang w:val="en-GB" w:eastAsia="en-GB"/>
              </w:rPr>
            </w:pPr>
            <w:r w:rsidRPr="00DE422E">
              <w:rPr>
                <w:rFonts w:eastAsia="Times New Roman"/>
                <w:sz w:val="22"/>
                <w:szCs w:val="22"/>
                <w:lang w:val="en-GB" w:eastAsia="en-GB"/>
              </w:rPr>
              <w:t>Aducanumab-</w:t>
            </w:r>
            <w:proofErr w:type="spellStart"/>
            <w:r w:rsidRPr="00DE422E">
              <w:rPr>
                <w:rFonts w:eastAsia="Times New Roman"/>
                <w:sz w:val="22"/>
                <w:szCs w:val="22"/>
                <w:lang w:val="en-GB" w:eastAsia="en-GB"/>
              </w:rPr>
              <w:t>Abeta</w:t>
            </w:r>
            <w:proofErr w:type="spellEnd"/>
          </w:p>
        </w:tc>
        <w:tc>
          <w:tcPr>
            <w:tcW w:w="725" w:type="dxa"/>
            <w:tcBorders>
              <w:top w:val="nil"/>
              <w:left w:val="nil"/>
              <w:bottom w:val="single" w:sz="4" w:space="0" w:color="auto"/>
              <w:right w:val="single" w:sz="4" w:space="0" w:color="auto"/>
            </w:tcBorders>
            <w:shd w:val="clear" w:color="000000" w:fill="FFFFFF"/>
            <w:vAlign w:val="center"/>
            <w:hideMark/>
          </w:tcPr>
          <w:p w14:paraId="20325BCB"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-18.1</w:t>
            </w:r>
          </w:p>
        </w:tc>
        <w:tc>
          <w:tcPr>
            <w:tcW w:w="916" w:type="dxa"/>
            <w:tcBorders>
              <w:top w:val="nil"/>
              <w:left w:val="nil"/>
              <w:bottom w:val="single" w:sz="4" w:space="0" w:color="auto"/>
              <w:right w:val="single" w:sz="4" w:space="0" w:color="auto"/>
            </w:tcBorders>
            <w:shd w:val="clear" w:color="000000" w:fill="FFFFFF"/>
            <w:vAlign w:val="center"/>
            <w:hideMark/>
          </w:tcPr>
          <w:p w14:paraId="46F83544"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5.10E</w:t>
            </w:r>
            <w:r w:rsidRPr="00DE422E">
              <w:rPr>
                <w:rFonts w:eastAsia="Times New Roman"/>
                <w:sz w:val="22"/>
                <w:szCs w:val="22"/>
                <w:vertAlign w:val="superscript"/>
                <w:lang w:val="en-GB" w:eastAsia="en-GB"/>
              </w:rPr>
              <w:t>-14</w:t>
            </w:r>
          </w:p>
        </w:tc>
        <w:tc>
          <w:tcPr>
            <w:tcW w:w="1125" w:type="dxa"/>
            <w:tcBorders>
              <w:top w:val="nil"/>
              <w:left w:val="nil"/>
              <w:bottom w:val="single" w:sz="4" w:space="0" w:color="auto"/>
              <w:right w:val="single" w:sz="4" w:space="0" w:color="auto"/>
            </w:tcBorders>
            <w:shd w:val="clear" w:color="000000" w:fill="FFFFFF"/>
            <w:vAlign w:val="center"/>
            <w:hideMark/>
          </w:tcPr>
          <w:p w14:paraId="3B204639"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22</w:t>
            </w:r>
          </w:p>
        </w:tc>
        <w:tc>
          <w:tcPr>
            <w:tcW w:w="1125" w:type="dxa"/>
            <w:tcBorders>
              <w:top w:val="nil"/>
              <w:left w:val="nil"/>
              <w:bottom w:val="single" w:sz="4" w:space="0" w:color="auto"/>
              <w:right w:val="single" w:sz="4" w:space="0" w:color="auto"/>
            </w:tcBorders>
            <w:shd w:val="clear" w:color="000000" w:fill="FFFFFF"/>
            <w:vAlign w:val="center"/>
            <w:hideMark/>
          </w:tcPr>
          <w:p w14:paraId="6032CE59"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20</w:t>
            </w:r>
          </w:p>
        </w:tc>
        <w:tc>
          <w:tcPr>
            <w:tcW w:w="1125" w:type="dxa"/>
            <w:tcBorders>
              <w:top w:val="nil"/>
              <w:left w:val="nil"/>
              <w:bottom w:val="single" w:sz="4" w:space="0" w:color="auto"/>
              <w:right w:val="single" w:sz="4" w:space="0" w:color="auto"/>
            </w:tcBorders>
            <w:shd w:val="clear" w:color="000000" w:fill="FFFFFF"/>
            <w:vAlign w:val="center"/>
            <w:hideMark/>
          </w:tcPr>
          <w:p w14:paraId="18231DC7"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64</w:t>
            </w:r>
          </w:p>
        </w:tc>
        <w:tc>
          <w:tcPr>
            <w:tcW w:w="842" w:type="dxa"/>
            <w:tcBorders>
              <w:top w:val="nil"/>
              <w:left w:val="nil"/>
              <w:bottom w:val="single" w:sz="4" w:space="0" w:color="auto"/>
              <w:right w:val="single" w:sz="4" w:space="0" w:color="auto"/>
            </w:tcBorders>
            <w:shd w:val="clear" w:color="000000" w:fill="FFFFFF"/>
            <w:vAlign w:val="center"/>
            <w:hideMark/>
          </w:tcPr>
          <w:p w14:paraId="163A0EEC"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1</w:t>
            </w:r>
          </w:p>
        </w:tc>
        <w:tc>
          <w:tcPr>
            <w:tcW w:w="881" w:type="dxa"/>
            <w:tcBorders>
              <w:top w:val="nil"/>
              <w:left w:val="nil"/>
              <w:bottom w:val="single" w:sz="4" w:space="0" w:color="auto"/>
              <w:right w:val="single" w:sz="4" w:space="0" w:color="auto"/>
            </w:tcBorders>
            <w:shd w:val="clear" w:color="000000" w:fill="FFFFFF"/>
            <w:vAlign w:val="center"/>
            <w:hideMark/>
          </w:tcPr>
          <w:p w14:paraId="4C5B2CFB"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19</w:t>
            </w:r>
          </w:p>
        </w:tc>
        <w:tc>
          <w:tcPr>
            <w:tcW w:w="958" w:type="dxa"/>
            <w:tcBorders>
              <w:top w:val="nil"/>
              <w:left w:val="nil"/>
              <w:bottom w:val="single" w:sz="4" w:space="0" w:color="auto"/>
              <w:right w:val="single" w:sz="4" w:space="0" w:color="auto"/>
            </w:tcBorders>
            <w:shd w:val="clear" w:color="000000" w:fill="FFFFFF"/>
            <w:vAlign w:val="center"/>
            <w:hideMark/>
          </w:tcPr>
          <w:p w14:paraId="60D96A54"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29</w:t>
            </w:r>
          </w:p>
        </w:tc>
        <w:tc>
          <w:tcPr>
            <w:tcW w:w="1048" w:type="dxa"/>
            <w:tcBorders>
              <w:top w:val="nil"/>
              <w:left w:val="nil"/>
              <w:bottom w:val="single" w:sz="4" w:space="0" w:color="auto"/>
              <w:right w:val="single" w:sz="4" w:space="0" w:color="auto"/>
            </w:tcBorders>
            <w:shd w:val="clear" w:color="000000" w:fill="FFFFFF"/>
            <w:vAlign w:val="center"/>
            <w:hideMark/>
          </w:tcPr>
          <w:p w14:paraId="0FD10DDB" w14:textId="31955954"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21.</w:t>
            </w:r>
            <w:r>
              <w:rPr>
                <w:rFonts w:eastAsia="Times New Roman"/>
                <w:sz w:val="22"/>
                <w:szCs w:val="22"/>
                <w:lang w:val="en-GB" w:eastAsia="en-GB"/>
              </w:rPr>
              <w:t>2</w:t>
            </w:r>
          </w:p>
        </w:tc>
        <w:tc>
          <w:tcPr>
            <w:tcW w:w="881" w:type="dxa"/>
            <w:tcBorders>
              <w:top w:val="nil"/>
              <w:left w:val="nil"/>
              <w:bottom w:val="single" w:sz="4" w:space="0" w:color="auto"/>
              <w:right w:val="single" w:sz="4" w:space="0" w:color="auto"/>
            </w:tcBorders>
            <w:shd w:val="clear" w:color="000000" w:fill="FFFFFF"/>
            <w:vAlign w:val="center"/>
            <w:hideMark/>
          </w:tcPr>
          <w:p w14:paraId="620D4F44" w14:textId="4990A715"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40.1</w:t>
            </w:r>
          </w:p>
        </w:tc>
      </w:tr>
      <w:tr w:rsidR="00DE422E" w:rsidRPr="00DE422E" w14:paraId="6EBCF4FE" w14:textId="77777777" w:rsidTr="00DE422E">
        <w:trPr>
          <w:trHeight w:val="486"/>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220109CB" w14:textId="77777777" w:rsidR="00DE422E" w:rsidRPr="00DE422E" w:rsidRDefault="00DE422E" w:rsidP="00DE422E">
            <w:pPr>
              <w:spacing w:line="240" w:lineRule="auto"/>
              <w:jc w:val="left"/>
              <w:rPr>
                <w:rFonts w:eastAsia="Times New Roman"/>
                <w:sz w:val="22"/>
                <w:szCs w:val="22"/>
                <w:lang w:val="en-GB" w:eastAsia="en-GB"/>
              </w:rPr>
            </w:pPr>
            <w:r w:rsidRPr="00DE422E">
              <w:rPr>
                <w:rFonts w:eastAsia="Times New Roman"/>
                <w:sz w:val="22"/>
                <w:szCs w:val="22"/>
                <w:lang w:val="en-GB" w:eastAsia="en-GB"/>
              </w:rPr>
              <w:t>Transferrin-(G4S)-Aducanumab-</w:t>
            </w:r>
            <w:proofErr w:type="spellStart"/>
            <w:r w:rsidRPr="00DE422E">
              <w:rPr>
                <w:rFonts w:eastAsia="Times New Roman"/>
                <w:sz w:val="22"/>
                <w:szCs w:val="22"/>
                <w:lang w:val="en-GB" w:eastAsia="en-GB"/>
              </w:rPr>
              <w:t>Abeta</w:t>
            </w:r>
            <w:proofErr w:type="spellEnd"/>
          </w:p>
        </w:tc>
        <w:tc>
          <w:tcPr>
            <w:tcW w:w="725" w:type="dxa"/>
            <w:tcBorders>
              <w:top w:val="nil"/>
              <w:left w:val="nil"/>
              <w:bottom w:val="single" w:sz="4" w:space="0" w:color="auto"/>
              <w:right w:val="single" w:sz="4" w:space="0" w:color="auto"/>
            </w:tcBorders>
            <w:shd w:val="clear" w:color="000000" w:fill="FFFFFF"/>
            <w:vAlign w:val="center"/>
            <w:hideMark/>
          </w:tcPr>
          <w:p w14:paraId="1CE1886A"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-21.3</w:t>
            </w:r>
          </w:p>
        </w:tc>
        <w:tc>
          <w:tcPr>
            <w:tcW w:w="916" w:type="dxa"/>
            <w:tcBorders>
              <w:top w:val="nil"/>
              <w:left w:val="nil"/>
              <w:bottom w:val="single" w:sz="4" w:space="0" w:color="auto"/>
              <w:right w:val="single" w:sz="4" w:space="0" w:color="auto"/>
            </w:tcBorders>
            <w:shd w:val="clear" w:color="000000" w:fill="FFFFFF"/>
            <w:vAlign w:val="center"/>
            <w:hideMark/>
          </w:tcPr>
          <w:p w14:paraId="133B11EB"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2.60E</w:t>
            </w:r>
            <w:r w:rsidRPr="00DE422E">
              <w:rPr>
                <w:rFonts w:eastAsia="Times New Roman"/>
                <w:sz w:val="22"/>
                <w:szCs w:val="22"/>
                <w:vertAlign w:val="superscript"/>
                <w:lang w:val="en-GB" w:eastAsia="en-GB"/>
              </w:rPr>
              <w:t>-16</w:t>
            </w:r>
          </w:p>
        </w:tc>
        <w:tc>
          <w:tcPr>
            <w:tcW w:w="1125" w:type="dxa"/>
            <w:tcBorders>
              <w:top w:val="nil"/>
              <w:left w:val="nil"/>
              <w:bottom w:val="single" w:sz="4" w:space="0" w:color="auto"/>
              <w:right w:val="single" w:sz="4" w:space="0" w:color="auto"/>
            </w:tcBorders>
            <w:shd w:val="clear" w:color="000000" w:fill="FFFFFF"/>
            <w:vAlign w:val="center"/>
            <w:hideMark/>
          </w:tcPr>
          <w:p w14:paraId="5C2B1BD1"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39</w:t>
            </w:r>
          </w:p>
        </w:tc>
        <w:tc>
          <w:tcPr>
            <w:tcW w:w="1125" w:type="dxa"/>
            <w:tcBorders>
              <w:top w:val="nil"/>
              <w:left w:val="nil"/>
              <w:bottom w:val="single" w:sz="4" w:space="0" w:color="auto"/>
              <w:right w:val="single" w:sz="4" w:space="0" w:color="auto"/>
            </w:tcBorders>
            <w:shd w:val="clear" w:color="000000" w:fill="FFFFFF"/>
            <w:vAlign w:val="center"/>
            <w:hideMark/>
          </w:tcPr>
          <w:p w14:paraId="7CD70AA5"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27</w:t>
            </w:r>
          </w:p>
        </w:tc>
        <w:tc>
          <w:tcPr>
            <w:tcW w:w="1125" w:type="dxa"/>
            <w:tcBorders>
              <w:top w:val="nil"/>
              <w:left w:val="nil"/>
              <w:bottom w:val="single" w:sz="4" w:space="0" w:color="auto"/>
              <w:right w:val="single" w:sz="4" w:space="0" w:color="auto"/>
            </w:tcBorders>
            <w:shd w:val="clear" w:color="000000" w:fill="FFFFFF"/>
            <w:vAlign w:val="center"/>
            <w:hideMark/>
          </w:tcPr>
          <w:p w14:paraId="60C06775"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83</w:t>
            </w:r>
          </w:p>
        </w:tc>
        <w:tc>
          <w:tcPr>
            <w:tcW w:w="842" w:type="dxa"/>
            <w:tcBorders>
              <w:top w:val="nil"/>
              <w:left w:val="nil"/>
              <w:bottom w:val="single" w:sz="4" w:space="0" w:color="auto"/>
              <w:right w:val="single" w:sz="4" w:space="0" w:color="auto"/>
            </w:tcBorders>
            <w:shd w:val="clear" w:color="000000" w:fill="FFFFFF"/>
            <w:vAlign w:val="center"/>
            <w:hideMark/>
          </w:tcPr>
          <w:p w14:paraId="504DD5BC"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1</w:t>
            </w:r>
          </w:p>
        </w:tc>
        <w:tc>
          <w:tcPr>
            <w:tcW w:w="881" w:type="dxa"/>
            <w:tcBorders>
              <w:top w:val="nil"/>
              <w:left w:val="nil"/>
              <w:bottom w:val="single" w:sz="4" w:space="0" w:color="auto"/>
              <w:right w:val="single" w:sz="4" w:space="0" w:color="auto"/>
            </w:tcBorders>
            <w:shd w:val="clear" w:color="000000" w:fill="FFFFFF"/>
            <w:vAlign w:val="center"/>
            <w:hideMark/>
          </w:tcPr>
          <w:p w14:paraId="550D6C28"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18</w:t>
            </w:r>
          </w:p>
        </w:tc>
        <w:tc>
          <w:tcPr>
            <w:tcW w:w="958" w:type="dxa"/>
            <w:tcBorders>
              <w:top w:val="nil"/>
              <w:left w:val="nil"/>
              <w:bottom w:val="single" w:sz="4" w:space="0" w:color="auto"/>
              <w:right w:val="single" w:sz="4" w:space="0" w:color="auto"/>
            </w:tcBorders>
            <w:shd w:val="clear" w:color="000000" w:fill="FFFFFF"/>
            <w:vAlign w:val="center"/>
            <w:hideMark/>
          </w:tcPr>
          <w:p w14:paraId="7EFB12B8"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43</w:t>
            </w:r>
          </w:p>
        </w:tc>
        <w:tc>
          <w:tcPr>
            <w:tcW w:w="1048" w:type="dxa"/>
            <w:tcBorders>
              <w:top w:val="nil"/>
              <w:left w:val="nil"/>
              <w:bottom w:val="single" w:sz="4" w:space="0" w:color="auto"/>
              <w:right w:val="single" w:sz="4" w:space="0" w:color="auto"/>
            </w:tcBorders>
            <w:shd w:val="clear" w:color="000000" w:fill="FFFFFF"/>
            <w:vAlign w:val="center"/>
            <w:hideMark/>
          </w:tcPr>
          <w:p w14:paraId="010A1508" w14:textId="4D66B9FA"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28.5</w:t>
            </w:r>
          </w:p>
        </w:tc>
        <w:tc>
          <w:tcPr>
            <w:tcW w:w="881" w:type="dxa"/>
            <w:tcBorders>
              <w:top w:val="nil"/>
              <w:left w:val="nil"/>
              <w:bottom w:val="single" w:sz="4" w:space="0" w:color="auto"/>
              <w:right w:val="single" w:sz="4" w:space="0" w:color="auto"/>
            </w:tcBorders>
            <w:shd w:val="clear" w:color="000000" w:fill="FFFFFF"/>
            <w:vAlign w:val="center"/>
            <w:hideMark/>
          </w:tcPr>
          <w:p w14:paraId="7AD594DE"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35.5</w:t>
            </w:r>
          </w:p>
        </w:tc>
      </w:tr>
      <w:tr w:rsidR="00DE422E" w:rsidRPr="00DE422E" w14:paraId="661F1060" w14:textId="77777777" w:rsidTr="00DE422E">
        <w:trPr>
          <w:trHeight w:val="486"/>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620FB2AD" w14:textId="77777777" w:rsidR="00DE422E" w:rsidRPr="00DE422E" w:rsidRDefault="00DE422E" w:rsidP="00DE422E">
            <w:pPr>
              <w:spacing w:line="240" w:lineRule="auto"/>
              <w:jc w:val="left"/>
              <w:rPr>
                <w:rFonts w:eastAsia="Times New Roman"/>
                <w:sz w:val="22"/>
                <w:szCs w:val="22"/>
                <w:lang w:val="en-GB" w:eastAsia="en-GB"/>
              </w:rPr>
            </w:pPr>
            <w:r w:rsidRPr="00DE422E">
              <w:rPr>
                <w:rFonts w:eastAsia="Times New Roman"/>
                <w:sz w:val="22"/>
                <w:szCs w:val="22"/>
                <w:lang w:val="en-GB" w:eastAsia="en-GB"/>
              </w:rPr>
              <w:t>Transferrin-(G4S)</w:t>
            </w:r>
            <w:r w:rsidRPr="00DE422E">
              <w:rPr>
                <w:rFonts w:eastAsia="Times New Roman"/>
                <w:sz w:val="22"/>
                <w:szCs w:val="22"/>
                <w:vertAlign w:val="subscript"/>
                <w:lang w:val="en-GB" w:eastAsia="en-GB"/>
              </w:rPr>
              <w:t>3</w:t>
            </w:r>
            <w:r w:rsidRPr="00DE422E">
              <w:rPr>
                <w:rFonts w:eastAsia="Times New Roman"/>
                <w:sz w:val="22"/>
                <w:szCs w:val="22"/>
                <w:lang w:val="en-GB" w:eastAsia="en-GB"/>
              </w:rPr>
              <w:t>-Aducanumab-Abeta</w:t>
            </w:r>
          </w:p>
        </w:tc>
        <w:tc>
          <w:tcPr>
            <w:tcW w:w="725" w:type="dxa"/>
            <w:tcBorders>
              <w:top w:val="nil"/>
              <w:left w:val="nil"/>
              <w:bottom w:val="single" w:sz="4" w:space="0" w:color="auto"/>
              <w:right w:val="single" w:sz="4" w:space="0" w:color="auto"/>
            </w:tcBorders>
            <w:shd w:val="clear" w:color="000000" w:fill="FFFFFF"/>
            <w:vAlign w:val="center"/>
            <w:hideMark/>
          </w:tcPr>
          <w:p w14:paraId="0F46812D"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-29.2</w:t>
            </w:r>
          </w:p>
        </w:tc>
        <w:tc>
          <w:tcPr>
            <w:tcW w:w="916" w:type="dxa"/>
            <w:tcBorders>
              <w:top w:val="nil"/>
              <w:left w:val="nil"/>
              <w:bottom w:val="single" w:sz="4" w:space="0" w:color="auto"/>
              <w:right w:val="single" w:sz="4" w:space="0" w:color="auto"/>
            </w:tcBorders>
            <w:shd w:val="clear" w:color="000000" w:fill="FFFFFF"/>
            <w:vAlign w:val="center"/>
            <w:hideMark/>
          </w:tcPr>
          <w:p w14:paraId="1ED64529"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4.10E</w:t>
            </w:r>
            <w:r w:rsidRPr="00DE422E">
              <w:rPr>
                <w:rFonts w:eastAsia="Times New Roman"/>
                <w:sz w:val="22"/>
                <w:szCs w:val="22"/>
                <w:vertAlign w:val="superscript"/>
                <w:lang w:val="en-GB" w:eastAsia="en-GB"/>
              </w:rPr>
              <w:t>-22</w:t>
            </w:r>
          </w:p>
        </w:tc>
        <w:tc>
          <w:tcPr>
            <w:tcW w:w="1125" w:type="dxa"/>
            <w:tcBorders>
              <w:top w:val="nil"/>
              <w:left w:val="nil"/>
              <w:bottom w:val="single" w:sz="4" w:space="0" w:color="auto"/>
              <w:right w:val="single" w:sz="4" w:space="0" w:color="auto"/>
            </w:tcBorders>
            <w:shd w:val="clear" w:color="000000" w:fill="FFFFFF"/>
            <w:vAlign w:val="center"/>
            <w:hideMark/>
          </w:tcPr>
          <w:p w14:paraId="1D27F702"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32</w:t>
            </w:r>
          </w:p>
        </w:tc>
        <w:tc>
          <w:tcPr>
            <w:tcW w:w="1125" w:type="dxa"/>
            <w:tcBorders>
              <w:top w:val="nil"/>
              <w:left w:val="nil"/>
              <w:bottom w:val="single" w:sz="4" w:space="0" w:color="auto"/>
              <w:right w:val="single" w:sz="4" w:space="0" w:color="auto"/>
            </w:tcBorders>
            <w:shd w:val="clear" w:color="000000" w:fill="FFFFFF"/>
            <w:vAlign w:val="center"/>
            <w:hideMark/>
          </w:tcPr>
          <w:p w14:paraId="213BDBA6"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33</w:t>
            </w:r>
          </w:p>
        </w:tc>
        <w:tc>
          <w:tcPr>
            <w:tcW w:w="1125" w:type="dxa"/>
            <w:tcBorders>
              <w:top w:val="nil"/>
              <w:left w:val="nil"/>
              <w:bottom w:val="single" w:sz="4" w:space="0" w:color="auto"/>
              <w:right w:val="single" w:sz="4" w:space="0" w:color="auto"/>
            </w:tcBorders>
            <w:shd w:val="clear" w:color="000000" w:fill="FFFFFF"/>
            <w:vAlign w:val="center"/>
            <w:hideMark/>
          </w:tcPr>
          <w:p w14:paraId="10663391"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136</w:t>
            </w:r>
          </w:p>
        </w:tc>
        <w:tc>
          <w:tcPr>
            <w:tcW w:w="842" w:type="dxa"/>
            <w:tcBorders>
              <w:top w:val="nil"/>
              <w:left w:val="nil"/>
              <w:bottom w:val="single" w:sz="4" w:space="0" w:color="auto"/>
              <w:right w:val="single" w:sz="4" w:space="0" w:color="auto"/>
            </w:tcBorders>
            <w:shd w:val="clear" w:color="000000" w:fill="FFFFFF"/>
            <w:vAlign w:val="center"/>
            <w:hideMark/>
          </w:tcPr>
          <w:p w14:paraId="3BD5075C"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7</w:t>
            </w:r>
          </w:p>
        </w:tc>
        <w:tc>
          <w:tcPr>
            <w:tcW w:w="881" w:type="dxa"/>
            <w:tcBorders>
              <w:top w:val="nil"/>
              <w:left w:val="nil"/>
              <w:bottom w:val="single" w:sz="4" w:space="0" w:color="auto"/>
              <w:right w:val="single" w:sz="4" w:space="0" w:color="auto"/>
            </w:tcBorders>
            <w:shd w:val="clear" w:color="000000" w:fill="FFFFFF"/>
            <w:vAlign w:val="center"/>
            <w:hideMark/>
          </w:tcPr>
          <w:p w14:paraId="76882B69"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38</w:t>
            </w:r>
          </w:p>
        </w:tc>
        <w:tc>
          <w:tcPr>
            <w:tcW w:w="958" w:type="dxa"/>
            <w:tcBorders>
              <w:top w:val="nil"/>
              <w:left w:val="nil"/>
              <w:bottom w:val="single" w:sz="4" w:space="0" w:color="auto"/>
              <w:right w:val="single" w:sz="4" w:space="0" w:color="auto"/>
            </w:tcBorders>
            <w:shd w:val="clear" w:color="000000" w:fill="FFFFFF"/>
            <w:vAlign w:val="center"/>
            <w:hideMark/>
          </w:tcPr>
          <w:p w14:paraId="60F656ED"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79</w:t>
            </w:r>
          </w:p>
        </w:tc>
        <w:tc>
          <w:tcPr>
            <w:tcW w:w="1048" w:type="dxa"/>
            <w:tcBorders>
              <w:top w:val="nil"/>
              <w:left w:val="nil"/>
              <w:bottom w:val="single" w:sz="4" w:space="0" w:color="auto"/>
              <w:right w:val="single" w:sz="4" w:space="0" w:color="auto"/>
            </w:tcBorders>
            <w:shd w:val="clear" w:color="000000" w:fill="FFFFFF"/>
            <w:vAlign w:val="center"/>
            <w:hideMark/>
          </w:tcPr>
          <w:p w14:paraId="65719EA2" w14:textId="77777777"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28.9</w:t>
            </w:r>
          </w:p>
        </w:tc>
        <w:tc>
          <w:tcPr>
            <w:tcW w:w="881" w:type="dxa"/>
            <w:tcBorders>
              <w:top w:val="nil"/>
              <w:left w:val="nil"/>
              <w:bottom w:val="single" w:sz="4" w:space="0" w:color="auto"/>
              <w:right w:val="single" w:sz="4" w:space="0" w:color="auto"/>
            </w:tcBorders>
            <w:shd w:val="clear" w:color="000000" w:fill="FFFFFF"/>
            <w:vAlign w:val="center"/>
            <w:hideMark/>
          </w:tcPr>
          <w:p w14:paraId="52DF9334" w14:textId="78F9947E" w:rsidR="00DE422E" w:rsidRPr="00DE422E" w:rsidRDefault="00DE422E" w:rsidP="00DE422E">
            <w:pPr>
              <w:spacing w:line="240" w:lineRule="auto"/>
              <w:jc w:val="right"/>
              <w:rPr>
                <w:rFonts w:eastAsia="Times New Roman"/>
                <w:sz w:val="22"/>
                <w:szCs w:val="22"/>
                <w:lang w:val="en-GB" w:eastAsia="en-GB"/>
              </w:rPr>
            </w:pPr>
            <w:r w:rsidRPr="00DE422E">
              <w:rPr>
                <w:rFonts w:eastAsia="Times New Roman"/>
                <w:sz w:val="22"/>
                <w:szCs w:val="22"/>
                <w:lang w:val="en-GB" w:eastAsia="en-GB"/>
              </w:rPr>
              <w:t>35.7</w:t>
            </w:r>
          </w:p>
        </w:tc>
      </w:tr>
    </w:tbl>
    <w:p w14:paraId="5B7A8DF0" w14:textId="77777777" w:rsidR="00C94AD7" w:rsidRDefault="00BB689B" w:rsidP="00C94AD7">
      <w:pPr>
        <w:pStyle w:val="MDPI31text"/>
        <w:ind w:left="0"/>
      </w:pPr>
      <w:r>
        <w:t xml:space="preserve"> </w:t>
      </w:r>
    </w:p>
    <w:p w14:paraId="07A40456" w14:textId="38F73731" w:rsidR="00C94AD7" w:rsidRDefault="00C94AD7" w:rsidP="00C94AD7">
      <w:pPr>
        <w:pStyle w:val="MDPI31text"/>
        <w:ind w:left="0" w:firstLine="0"/>
      </w:pPr>
      <w:r>
        <w:t xml:space="preserve">Table </w:t>
      </w:r>
      <w:r w:rsidR="00C57104">
        <w:t>1</w:t>
      </w:r>
      <w:r>
        <w:t>. The binding properties of various conjugates.</w:t>
      </w:r>
    </w:p>
    <w:p w14:paraId="5D6BE154" w14:textId="182D18C1" w:rsidR="00BB689B" w:rsidRDefault="00BB689B" w:rsidP="00BB689B">
      <w:pPr>
        <w:pStyle w:val="MDPI31text"/>
        <w:ind w:left="0"/>
      </w:pPr>
    </w:p>
    <w:sectPr w:rsidR="00BB68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366211"/>
    <w:multiLevelType w:val="multilevel"/>
    <w:tmpl w:val="554A631A"/>
    <w:lvl w:ilvl="0">
      <w:start w:val="1"/>
      <w:numFmt w:val="decimal"/>
      <w:pStyle w:val="MDPI21heading1"/>
      <w:lvlText w:val="%1."/>
      <w:lvlJc w:val="left"/>
      <w:pPr>
        <w:ind w:left="2968" w:hanging="360"/>
      </w:pPr>
    </w:lvl>
    <w:lvl w:ilvl="1">
      <w:start w:val="1"/>
      <w:numFmt w:val="decimal"/>
      <w:pStyle w:val="MDPI22heading2"/>
      <w:lvlText w:val="%1.%2."/>
      <w:lvlJc w:val="left"/>
      <w:pPr>
        <w:ind w:left="3672" w:hanging="432"/>
      </w:pPr>
    </w:lvl>
    <w:lvl w:ilvl="2">
      <w:start w:val="1"/>
      <w:numFmt w:val="decimal"/>
      <w:lvlText w:val="%1.%2.%3."/>
      <w:lvlJc w:val="left"/>
      <w:pPr>
        <w:ind w:left="3832" w:hanging="504"/>
      </w:pPr>
    </w:lvl>
    <w:lvl w:ilvl="3">
      <w:start w:val="1"/>
      <w:numFmt w:val="decimal"/>
      <w:lvlText w:val="%1.%2.%3.%4."/>
      <w:lvlJc w:val="left"/>
      <w:pPr>
        <w:ind w:left="4336" w:hanging="648"/>
      </w:pPr>
    </w:lvl>
    <w:lvl w:ilvl="4">
      <w:start w:val="1"/>
      <w:numFmt w:val="decimal"/>
      <w:lvlText w:val="%1.%2.%3.%4.%5."/>
      <w:lvlJc w:val="left"/>
      <w:pPr>
        <w:ind w:left="4840" w:hanging="792"/>
      </w:pPr>
    </w:lvl>
    <w:lvl w:ilvl="5">
      <w:start w:val="1"/>
      <w:numFmt w:val="decimal"/>
      <w:lvlText w:val="%1.%2.%3.%4.%5.%6."/>
      <w:lvlJc w:val="left"/>
      <w:pPr>
        <w:ind w:left="5344" w:hanging="936"/>
      </w:pPr>
    </w:lvl>
    <w:lvl w:ilvl="6">
      <w:start w:val="1"/>
      <w:numFmt w:val="decimal"/>
      <w:lvlText w:val="%1.%2.%3.%4.%5.%6.%7."/>
      <w:lvlJc w:val="left"/>
      <w:pPr>
        <w:ind w:left="5848" w:hanging="1080"/>
      </w:pPr>
    </w:lvl>
    <w:lvl w:ilvl="7">
      <w:start w:val="1"/>
      <w:numFmt w:val="decimal"/>
      <w:lvlText w:val="%1.%2.%3.%4.%5.%6.%7.%8."/>
      <w:lvlJc w:val="left"/>
      <w:pPr>
        <w:ind w:left="6352" w:hanging="1224"/>
      </w:pPr>
    </w:lvl>
    <w:lvl w:ilvl="8">
      <w:start w:val="1"/>
      <w:numFmt w:val="decimal"/>
      <w:lvlText w:val="%1.%2.%3.%4.%5.%6.%7.%8.%9."/>
      <w:lvlJc w:val="left"/>
      <w:pPr>
        <w:ind w:left="6928"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3MTAzMLEwszA0szRQ0lEKTi0uzszPAykwqgUAxF+x1SwAAAA="/>
  </w:docVars>
  <w:rsids>
    <w:rsidRoot w:val="00BB689B"/>
    <w:rsid w:val="00083BCC"/>
    <w:rsid w:val="00091D90"/>
    <w:rsid w:val="000E7423"/>
    <w:rsid w:val="0016353A"/>
    <w:rsid w:val="001A7124"/>
    <w:rsid w:val="002413ED"/>
    <w:rsid w:val="00393E1E"/>
    <w:rsid w:val="0042340F"/>
    <w:rsid w:val="004941E0"/>
    <w:rsid w:val="00502849"/>
    <w:rsid w:val="0051369A"/>
    <w:rsid w:val="00771FFA"/>
    <w:rsid w:val="007C7E77"/>
    <w:rsid w:val="0081529C"/>
    <w:rsid w:val="008A110C"/>
    <w:rsid w:val="009D6F4E"/>
    <w:rsid w:val="00A63FFA"/>
    <w:rsid w:val="00AD66A0"/>
    <w:rsid w:val="00AE0222"/>
    <w:rsid w:val="00B104FB"/>
    <w:rsid w:val="00BA6043"/>
    <w:rsid w:val="00BB689B"/>
    <w:rsid w:val="00C57104"/>
    <w:rsid w:val="00C94AD7"/>
    <w:rsid w:val="00D3098D"/>
    <w:rsid w:val="00DE422E"/>
    <w:rsid w:val="00E44FA0"/>
    <w:rsid w:val="00E53B0C"/>
    <w:rsid w:val="00F00D1C"/>
    <w:rsid w:val="00F962AA"/>
    <w:rsid w:val="00FD2AC5"/>
    <w:rsid w:val="00FF1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EC5E00"/>
  <w15:chartTrackingRefBased/>
  <w15:docId w15:val="{38B0D898-1005-438F-BDC8-7F983905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89B"/>
    <w:pPr>
      <w:spacing w:after="0" w:line="260" w:lineRule="atLeast"/>
      <w:jc w:val="both"/>
    </w:pPr>
    <w:rPr>
      <w:rFonts w:ascii="Palatino Linotype" w:eastAsia="SimSun" w:hAnsi="Palatino Linotype" w:cs="Times New Roman"/>
      <w:color w:val="000000"/>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Revision Table"/>
    <w:basedOn w:val="TableNormal"/>
    <w:uiPriority w:val="39"/>
    <w:rsid w:val="00BB689B"/>
    <w:pPr>
      <w:spacing w:after="0" w:line="260" w:lineRule="atLeast"/>
      <w:jc w:val="both"/>
    </w:pPr>
    <w:rPr>
      <w:rFonts w:ascii="Palatino Linotype" w:eastAsia="SimSun" w:hAnsi="Palatino Linotype" w:cs="Times New Roman"/>
      <w:color w:val="000000"/>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31text">
    <w:name w:val="MDPI_3.1_text"/>
    <w:link w:val="MDPI31textChar"/>
    <w:qFormat/>
    <w:rsid w:val="00BB689B"/>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42tablebody">
    <w:name w:val="MDPI_4.2_table_body"/>
    <w:qFormat/>
    <w:rsid w:val="00BB689B"/>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MDPI51figurecaption">
    <w:name w:val="MDPI_5.1_figure_caption"/>
    <w:qFormat/>
    <w:rsid w:val="00BB689B"/>
    <w:pPr>
      <w:adjustRightInd w:val="0"/>
      <w:snapToGrid w:val="0"/>
      <w:spacing w:before="120" w:after="240" w:line="228" w:lineRule="auto"/>
      <w:ind w:left="2608"/>
      <w:jc w:val="both"/>
    </w:pPr>
    <w:rPr>
      <w:rFonts w:ascii="Palatino Linotype" w:eastAsia="Times New Roman" w:hAnsi="Palatino Linotype" w:cs="Times New Roman"/>
      <w:color w:val="000000"/>
      <w:sz w:val="18"/>
      <w:szCs w:val="20"/>
      <w:lang w:val="en-US" w:eastAsia="de-DE" w:bidi="en-US"/>
    </w:rPr>
  </w:style>
  <w:style w:type="paragraph" w:customStyle="1" w:styleId="MDPI52figure">
    <w:name w:val="MDPI_5.2_figure"/>
    <w:qFormat/>
    <w:rsid w:val="00BB689B"/>
    <w:pPr>
      <w:adjustRightInd w:val="0"/>
      <w:snapToGrid w:val="0"/>
      <w:spacing w:before="240" w:after="120" w:line="240" w:lineRule="auto"/>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MDPI21heading1">
    <w:name w:val="MDPI_2.1_heading1"/>
    <w:qFormat/>
    <w:rsid w:val="00BB689B"/>
    <w:pPr>
      <w:numPr>
        <w:numId w:val="1"/>
      </w:numPr>
      <w:adjustRightInd w:val="0"/>
      <w:snapToGrid w:val="0"/>
      <w:spacing w:before="240" w:after="60" w:line="228" w:lineRule="auto"/>
      <w:outlineLvl w:val="0"/>
    </w:pPr>
    <w:rPr>
      <w:rFonts w:ascii="Palatino Linotype" w:eastAsia="Times New Roman" w:hAnsi="Palatino Linotype" w:cs="Times New Roman"/>
      <w:b/>
      <w:snapToGrid w:val="0"/>
      <w:color w:val="000000"/>
      <w:sz w:val="20"/>
      <w:lang w:val="en-US" w:eastAsia="de-DE" w:bidi="en-US"/>
    </w:rPr>
  </w:style>
  <w:style w:type="paragraph" w:customStyle="1" w:styleId="MDPI22heading2">
    <w:name w:val="MDPI_2.2_heading2"/>
    <w:qFormat/>
    <w:rsid w:val="00BB689B"/>
    <w:pPr>
      <w:numPr>
        <w:ilvl w:val="1"/>
        <w:numId w:val="1"/>
      </w:numPr>
      <w:adjustRightInd w:val="0"/>
      <w:snapToGrid w:val="0"/>
      <w:spacing w:before="60" w:after="60" w:line="228" w:lineRule="auto"/>
      <w:outlineLvl w:val="1"/>
    </w:pPr>
    <w:rPr>
      <w:rFonts w:ascii="Palatino Linotype" w:eastAsia="Times New Roman" w:hAnsi="Palatino Linotype" w:cs="Times New Roman"/>
      <w:i/>
      <w:noProof/>
      <w:snapToGrid w:val="0"/>
      <w:color w:val="000000"/>
      <w:sz w:val="20"/>
      <w:lang w:val="en-US" w:eastAsia="de-DE" w:bidi="en-US"/>
    </w:rPr>
  </w:style>
  <w:style w:type="character" w:styleId="Hyperlink">
    <w:name w:val="Hyperlink"/>
    <w:uiPriority w:val="99"/>
    <w:rsid w:val="00BB689B"/>
    <w:rPr>
      <w:color w:val="0000FF"/>
      <w:u w:val="single"/>
    </w:rPr>
  </w:style>
  <w:style w:type="character" w:customStyle="1" w:styleId="MDPI31textChar">
    <w:name w:val="MDPI_3.1_text Char"/>
    <w:basedOn w:val="DefaultParagraphFont"/>
    <w:link w:val="MDPI31text"/>
    <w:rsid w:val="00BB689B"/>
    <w:rPr>
      <w:rFonts w:ascii="Palatino Linotype" w:eastAsia="Times New Roman" w:hAnsi="Palatino Linotype" w:cs="Times New Roman"/>
      <w:snapToGrid w:val="0"/>
      <w:color w:val="000000"/>
      <w:sz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527">
      <w:bodyDiv w:val="1"/>
      <w:marLeft w:val="0"/>
      <w:marRight w:val="0"/>
      <w:marTop w:val="0"/>
      <w:marBottom w:val="0"/>
      <w:divBdr>
        <w:top w:val="none" w:sz="0" w:space="0" w:color="auto"/>
        <w:left w:val="none" w:sz="0" w:space="0" w:color="auto"/>
        <w:bottom w:val="none" w:sz="0" w:space="0" w:color="auto"/>
        <w:right w:val="none" w:sz="0" w:space="0" w:color="auto"/>
      </w:divBdr>
    </w:div>
    <w:div w:id="696464322">
      <w:bodyDiv w:val="1"/>
      <w:marLeft w:val="0"/>
      <w:marRight w:val="0"/>
      <w:marTop w:val="0"/>
      <w:marBottom w:val="0"/>
      <w:divBdr>
        <w:top w:val="none" w:sz="0" w:space="0" w:color="auto"/>
        <w:left w:val="none" w:sz="0" w:space="0" w:color="auto"/>
        <w:bottom w:val="none" w:sz="0" w:space="0" w:color="auto"/>
        <w:right w:val="none" w:sz="0" w:space="0" w:color="auto"/>
      </w:divBdr>
    </w:div>
    <w:div w:id="169256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1326</TotalTime>
  <Pages>5</Pages>
  <Words>502</Words>
  <Characters>3216</Characters>
  <Application>Microsoft Office Word</Application>
  <DocSecurity>0</DocSecurity>
  <Lines>123</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Zamara</dc:creator>
  <cp:keywords/>
  <dc:description/>
  <cp:lastModifiedBy>Zamara</cp:lastModifiedBy>
  <cp:revision>19</cp:revision>
  <dcterms:created xsi:type="dcterms:W3CDTF">2024-05-08T15:39:00Z</dcterms:created>
  <dcterms:modified xsi:type="dcterms:W3CDTF">2024-05-14T11:29:00Z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73d9f41a-a5ed-48f7-9e2c-1a4321df1c91</vt:lpwstr>
  </property>
</Properties>
</file>