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i-agent-implementation-in-banking"/>
    <w:p>
      <w:pPr>
        <w:pStyle w:val="Heading1"/>
      </w:pPr>
      <w:r>
        <w:t xml:space="preserve">AI Agent Implementation in Banking</w:t>
      </w:r>
    </w:p>
    <w:bookmarkStart w:id="9" w:name="research-question"/>
    <w:p>
      <w:pPr>
        <w:pStyle w:val="Heading2"/>
      </w:pPr>
      <w:r>
        <w:t xml:space="preserve">Research question</w:t>
      </w:r>
    </w:p>
    <w:p>
      <w:pPr>
        <w:pStyle w:val="FirstParagraph"/>
      </w:pPr>
      <w:r>
        <w:t xml:space="preserve">How can banks implement AI agents effectively and safely in banking operations, and what governance, use cases, and risk controls should boards prioritize?</w:t>
      </w:r>
    </w:p>
    <w:bookmarkEnd w:id="9"/>
    <w:bookmarkStart w:id="10" w:name="sub-questions"/>
    <w:p>
      <w:pPr>
        <w:pStyle w:val="Heading2"/>
      </w:pPr>
      <w:r>
        <w:t xml:space="preserve">Sub-questions</w:t>
      </w:r>
    </w:p>
    <w:p>
      <w:pPr>
        <w:pStyle w:val="Compact"/>
        <w:numPr>
          <w:ilvl w:val="0"/>
          <w:numId w:val="1001"/>
        </w:numPr>
      </w:pPr>
      <w:r>
        <w:t xml:space="preserve">What banking workflows are most suitable for AI agents today?</w:t>
      </w:r>
    </w:p>
    <w:p>
      <w:pPr>
        <w:pStyle w:val="Compact"/>
        <w:numPr>
          <w:ilvl w:val="0"/>
          <w:numId w:val="1001"/>
        </w:numPr>
      </w:pPr>
      <w:r>
        <w:t xml:space="preserve">What implementation model best balances speed, control, and value?</w:t>
      </w:r>
    </w:p>
    <w:p>
      <w:pPr>
        <w:pStyle w:val="Compact"/>
        <w:numPr>
          <w:ilvl w:val="0"/>
          <w:numId w:val="1001"/>
        </w:numPr>
      </w:pPr>
      <w:r>
        <w:t xml:space="preserve">Which risks are most important for banks to manage with AI agents?</w:t>
      </w:r>
    </w:p>
    <w:p>
      <w:pPr>
        <w:pStyle w:val="Compact"/>
        <w:numPr>
          <w:ilvl w:val="0"/>
          <w:numId w:val="1001"/>
        </w:numPr>
      </w:pPr>
      <w:r>
        <w:t xml:space="preserve">What governance and oversight practices should boards require?</w:t>
      </w:r>
    </w:p>
    <w:p>
      <w:pPr>
        <w:pStyle w:val="Compact"/>
        <w:numPr>
          <w:ilvl w:val="0"/>
          <w:numId w:val="1001"/>
        </w:numPr>
      </w:pPr>
      <w:r>
        <w:t xml:space="preserve">How should banks sequence pilots, value measurement, and scaling?</w:t>
      </w:r>
    </w:p>
    <w:bookmarkEnd w:id="10"/>
    <w:bookmarkStart w:id="15" w:name="executive-summary"/>
    <w:p>
      <w:pPr>
        <w:pStyle w:val="Heading2"/>
      </w:pPr>
      <w:r>
        <w:t xml:space="preserve">Executive summary</w:t>
      </w:r>
    </w:p>
    <w:p>
      <w:pPr>
        <w:pStyle w:val="FirstParagraph"/>
      </w:pPr>
      <w:r>
        <w:t xml:space="preserve">AI agents are emerging as a practical automation layer for banking operations, especially in customer servicing, fraud/AML support, compliance operations, and document-intensive workflows. Leading industry research shows agentic AI is still uncommon in banks but offers a strong path to 15–20% productivity gain when deployed selectively and with strong controls</w:t>
      </w:r>
      <w:r>
        <w:t xml:space="preserve"> </w:t>
      </w:r>
      <w:hyperlink r:id="rId11">
        <w:r>
          <w:rPr>
            <w:rStyle w:val="Hyperlink"/>
          </w:rPr>
          <w:t xml:space="preserve">Deloitte, 2025</w:t>
        </w:r>
      </w:hyperlink>
      <w:r>
        <w:t xml:space="preserve">;</w:t>
      </w:r>
      <w:r>
        <w:t xml:space="preserve"> </w:t>
      </w:r>
      <w:hyperlink r:id="rId12">
        <w:r>
          <w:rPr>
            <w:rStyle w:val="Hyperlink"/>
          </w:rPr>
          <w:t xml:space="preserve">McKinsey, 2025</w:t>
        </w:r>
      </w:hyperlink>
      <w:r>
        <w:t xml:space="preserve">.</w:t>
      </w:r>
    </w:p>
    <w:p>
      <w:pPr>
        <w:pStyle w:val="BodyText"/>
      </w:pPr>
      <w:r>
        <w:t xml:space="preserve">Successful implementation in banking requires a narrow start, integration with trusted data, human-in-the-loop decision points, and formal risk governance built on established frameworks such as the NIST AI Risk Management Framework</w:t>
      </w:r>
      <w:r>
        <w:t xml:space="preserve"> </w:t>
      </w:r>
      <w:hyperlink r:id="rId13">
        <w:r>
          <w:rPr>
            <w:rStyle w:val="Hyperlink"/>
          </w:rPr>
          <w:t xml:space="preserve">NIST, 2023</w:t>
        </w:r>
      </w:hyperlink>
      <w:r>
        <w:t xml:space="preserve"> </w:t>
      </w:r>
      <w:r>
        <w:t xml:space="preserve">and the NIST Generative AI profile</w:t>
      </w:r>
      <w:r>
        <w:t xml:space="preserve"> </w:t>
      </w:r>
      <w:hyperlink r:id="rId14">
        <w:r>
          <w:rPr>
            <w:rStyle w:val="Hyperlink"/>
          </w:rPr>
          <w:t xml:space="preserve">NIST, 2024</w:t>
        </w:r>
      </w:hyperlink>
      <w:r>
        <w:t xml:space="preserve">.</w:t>
      </w:r>
    </w:p>
    <w:bookmarkEnd w:id="15"/>
    <w:bookmarkStart w:id="16" w:name="key-findings"/>
    <w:p>
      <w:pPr>
        <w:pStyle w:val="Heading2"/>
      </w:pPr>
      <w:r>
        <w:t xml:space="preserve">Key findings</w:t>
      </w:r>
    </w:p>
    <w:p>
      <w:pPr>
        <w:pStyle w:val="Compact"/>
        <w:numPr>
          <w:ilvl w:val="0"/>
          <w:numId w:val="1002"/>
        </w:numPr>
      </w:pPr>
      <w:r>
        <w:t xml:space="preserve">AI agent adoption is most attractive where processes are repetitive, rules-rich, document-heavy, and already supported by strong data integration.</w:t>
      </w:r>
    </w:p>
    <w:p>
      <w:pPr>
        <w:pStyle w:val="Compact"/>
        <w:numPr>
          <w:ilvl w:val="0"/>
          <w:numId w:val="1002"/>
        </w:numPr>
      </w:pPr>
      <w:r>
        <w:t xml:space="preserve">Real-world banking agentic AI applications remain early-stage, with many banks using agentic models first as overlays or assistants rather than fully autonomous decision-makers [Deloitte, 2025].</w:t>
      </w:r>
    </w:p>
    <w:p>
      <w:pPr>
        <w:pStyle w:val="Compact"/>
        <w:numPr>
          <w:ilvl w:val="0"/>
          <w:numId w:val="1002"/>
        </w:numPr>
      </w:pPr>
      <w:r>
        <w:t xml:space="preserve">The most credible near-term AI agent use cases are customer service, fraud/AML analysis, compliance/document review, and lending operations.</w:t>
      </w:r>
    </w:p>
    <w:p>
      <w:pPr>
        <w:pStyle w:val="Compact"/>
        <w:numPr>
          <w:ilvl w:val="0"/>
          <w:numId w:val="1002"/>
        </w:numPr>
      </w:pPr>
      <w:r>
        <w:t xml:space="preserve">Risk management should prioritize hallucinations, model governance, data privacy, auditability, and vendor control.</w:t>
      </w:r>
    </w:p>
    <w:p>
      <w:pPr>
        <w:pStyle w:val="Compact"/>
        <w:numPr>
          <w:ilvl w:val="0"/>
          <w:numId w:val="1002"/>
        </w:numPr>
      </w:pPr>
      <w:r>
        <w:t xml:space="preserve">Boards should require pilots with clear metrics, documentation of agent scope and limitations, and a governance forum that includes risk, compliance, technology, and business ownership.</w:t>
      </w:r>
    </w:p>
    <w:bookmarkEnd w:id="16"/>
    <w:bookmarkStart w:id="22" w:name="banking-use-cases-for-ai-agents"/>
    <w:p>
      <w:pPr>
        <w:pStyle w:val="Heading2"/>
      </w:pPr>
      <w:r>
        <w:t xml:space="preserve">Banking use cases for AI agents</w:t>
      </w:r>
    </w:p>
    <w:bookmarkStart w:id="17" w:name="customer-service-and-servicing"/>
    <w:p>
      <w:pPr>
        <w:pStyle w:val="Heading3"/>
      </w:pPr>
      <w:r>
        <w:t xml:space="preserve">1. Customer service and servicing</w:t>
      </w:r>
    </w:p>
    <w:p>
      <w:pPr>
        <w:pStyle w:val="FirstParagraph"/>
      </w:pPr>
      <w:r>
        <w:t xml:space="preserve">AI agents can handle routine inquiries, triage cases, and draft standard responses while escalating exceptions to human specialists. This reduces response time and improves consistency in areas such as balance inquiries, dispute resolution, and account servicing.</w:t>
      </w:r>
    </w:p>
    <w:bookmarkEnd w:id="17"/>
    <w:bookmarkStart w:id="18" w:name="fraud-aml-and-financial-crime"/>
    <w:p>
      <w:pPr>
        <w:pStyle w:val="Heading3"/>
      </w:pPr>
      <w:r>
        <w:t xml:space="preserve">2. Fraud, AML, and financial crime</w:t>
      </w:r>
    </w:p>
    <w:p>
      <w:pPr>
        <w:pStyle w:val="FirstParagraph"/>
      </w:pPr>
      <w:r>
        <w:t xml:space="preserve">Agentic workflows can augment transaction-monitoring teams by summarizing alerts, reviewing linked data, generating investigation narratives, and recommending next steps. These agents are most valuable when they support analysts rather than replace them [Deloitte, 2025].</w:t>
      </w:r>
    </w:p>
    <w:bookmarkEnd w:id="18"/>
    <w:bookmarkStart w:id="19" w:name="compliance-and-regulatory-operations"/>
    <w:p>
      <w:pPr>
        <w:pStyle w:val="Heading3"/>
      </w:pPr>
      <w:r>
        <w:t xml:space="preserve">3. Compliance and regulatory operations</w:t>
      </w:r>
    </w:p>
    <w:p>
      <w:pPr>
        <w:pStyle w:val="FirstParagraph"/>
      </w:pPr>
      <w:r>
        <w:t xml:space="preserve">AI agents can help compliance teams by identifying relevant policy citations, summarizing regulatory changes, and assembling audit evidence. Embedding compliance checks into agent workflows is essential to avoid uncontrolled automation.</w:t>
      </w:r>
    </w:p>
    <w:bookmarkEnd w:id="19"/>
    <w:bookmarkStart w:id="20" w:name="lending-and-document-processing"/>
    <w:p>
      <w:pPr>
        <w:pStyle w:val="Heading3"/>
      </w:pPr>
      <w:r>
        <w:t xml:space="preserve">4. Lending and document processing</w:t>
      </w:r>
    </w:p>
    <w:p>
      <w:pPr>
        <w:pStyle w:val="FirstParagraph"/>
      </w:pPr>
      <w:r>
        <w:t xml:space="preserve">Document-heavy credit approval, KYC intake, and loan servicing are strong early candidates for AI agents. Using retrieval-augmented generation and structured document analysis, agents can classify paperwork, extract key facts, and prepare underwriting summaries.</w:t>
      </w:r>
    </w:p>
    <w:bookmarkEnd w:id="20"/>
    <w:bookmarkStart w:id="21" w:name="wealth-and-advisory-support"/>
    <w:p>
      <w:pPr>
        <w:pStyle w:val="Heading3"/>
      </w:pPr>
      <w:r>
        <w:t xml:space="preserve">5. Wealth and advisory support</w:t>
      </w:r>
    </w:p>
    <w:p>
      <w:pPr>
        <w:pStyle w:val="FirstParagraph"/>
      </w:pPr>
      <w:r>
        <w:t xml:space="preserve">Advisors can leverage AI agents as copilots to summarize client profiles, draft investment briefs, and generate meeting notes, leaving final advice and relationship decisions to humans.</w:t>
      </w:r>
    </w:p>
    <w:bookmarkEnd w:id="21"/>
    <w:bookmarkEnd w:id="22"/>
    <w:bookmarkStart w:id="28" w:name="practical-implementation-model"/>
    <w:p>
      <w:pPr>
        <w:pStyle w:val="Heading2"/>
      </w:pPr>
      <w:r>
        <w:t xml:space="preserve">Practical implementation model</w:t>
      </w:r>
    </w:p>
    <w:bookmarkStart w:id="23" w:name="start-narrow-then-expand"/>
    <w:p>
      <w:pPr>
        <w:pStyle w:val="Heading3"/>
      </w:pPr>
      <w:r>
        <w:t xml:space="preserve">Start narrow, then expand</w:t>
      </w:r>
    </w:p>
    <w:p>
      <w:pPr>
        <w:pStyle w:val="FirstParagraph"/>
      </w:pPr>
      <w:r>
        <w:t xml:space="preserve">Banks should begin with one or two narrowly scoped use cases that have clear operating procedures, measurable value, and manageable risk. A</w:t>
      </w:r>
      <w:r>
        <w:t xml:space="preserve"> </w:t>
      </w:r>
      <w:r>
        <w:t xml:space="preserve">“smart overlay”</w:t>
      </w:r>
      <w:r>
        <w:t xml:space="preserve"> </w:t>
      </w:r>
      <w:r>
        <w:t xml:space="preserve">approach, where agents operate above existing workflows, is an effective early strategy [Deloitte, 2025].</w:t>
      </w:r>
    </w:p>
    <w:bookmarkEnd w:id="23"/>
    <w:bookmarkStart w:id="24" w:name="X47a5ac2b97b547f7040ce5cdda4ee8d2cc220ba"/>
    <w:p>
      <w:pPr>
        <w:pStyle w:val="Heading3"/>
      </w:pPr>
      <w:r>
        <w:t xml:space="preserve">Build on trusted data and secure integration</w:t>
      </w:r>
    </w:p>
    <w:p>
      <w:pPr>
        <w:pStyle w:val="FirstParagraph"/>
      </w:pPr>
      <w:r>
        <w:t xml:space="preserve">AI agents require access to high-quality data, strong access controls, and traceable lineage. Banks should integrate agents through secure APIs, data fabrics, or retrieval layers rather than ad hoc document dumps.</w:t>
      </w:r>
    </w:p>
    <w:bookmarkEnd w:id="24"/>
    <w:bookmarkStart w:id="25" w:name="keep-humans-in-the-loop"/>
    <w:p>
      <w:pPr>
        <w:pStyle w:val="Heading3"/>
      </w:pPr>
      <w:r>
        <w:t xml:space="preserve">Keep humans in the loop</w:t>
      </w:r>
    </w:p>
    <w:p>
      <w:pPr>
        <w:pStyle w:val="FirstParagraph"/>
      </w:pPr>
      <w:r>
        <w:t xml:space="preserve">For banking, the default architecture should be human-plus-agent: agents assist, humans approve. Human review is especially critical for credit decisions, suspicious activity reporting, and customer-facing financial advice.</w:t>
      </w:r>
    </w:p>
    <w:bookmarkEnd w:id="25"/>
    <w:bookmarkStart w:id="26" w:name="X41b306a3b82cc82ac2c3f6b88384e8d0f56e950"/>
    <w:p>
      <w:pPr>
        <w:pStyle w:val="Heading3"/>
      </w:pPr>
      <w:r>
        <w:t xml:space="preserve">Use formal governance and risk frameworks</w:t>
      </w:r>
    </w:p>
    <w:p>
      <w:pPr>
        <w:pStyle w:val="FirstParagraph"/>
      </w:pPr>
      <w:r>
        <w:t xml:space="preserve">Governance should cover agent design, deployment, monitoring, and change control. The NIST AI RMF and its generative AI profile provide guidance for assessing risk, ensuring transparency, and maintaining accountability</w:t>
      </w:r>
      <w:r>
        <w:t xml:space="preserve"> </w:t>
      </w:r>
      <w:hyperlink r:id="rId13">
        <w:r>
          <w:rPr>
            <w:rStyle w:val="Hyperlink"/>
          </w:rPr>
          <w:t xml:space="preserve">NIST, 2023</w:t>
        </w:r>
      </w:hyperlink>
      <w:r>
        <w:t xml:space="preserve">;</w:t>
      </w:r>
      <w:r>
        <w:t xml:space="preserve"> </w:t>
      </w:r>
      <w:hyperlink r:id="rId14">
        <w:r>
          <w:rPr>
            <w:rStyle w:val="Hyperlink"/>
          </w:rPr>
          <w:t xml:space="preserve">NIST, 2024</w:t>
        </w:r>
      </w:hyperlink>
      <w:r>
        <w:t xml:space="preserve">.</w:t>
      </w:r>
    </w:p>
    <w:bookmarkEnd w:id="26"/>
    <w:bookmarkStart w:id="27" w:name="X87369eb869d293f056156a31d91138d8bbd36f9"/>
    <w:p>
      <w:pPr>
        <w:pStyle w:val="Heading3"/>
      </w:pPr>
      <w:r>
        <w:t xml:space="preserve">Define success metrics and risk metrics together</w:t>
      </w:r>
    </w:p>
    <w:p>
      <w:pPr>
        <w:pStyle w:val="FirstParagraph"/>
      </w:pPr>
      <w:r>
        <w:t xml:space="preserve">Pilot success should be measured in terms of both business value and risk control. Examples include reduced handle time, fewer manual escalations, error rate reduction, improved analyst throughput, and monitored model accuracy/consistency.</w:t>
      </w:r>
    </w:p>
    <w:bookmarkEnd w:id="27"/>
    <w:bookmarkEnd w:id="28"/>
    <w:bookmarkStart w:id="35" w:name="risk-and-control-considerations"/>
    <w:p>
      <w:pPr>
        <w:pStyle w:val="Heading2"/>
      </w:pPr>
      <w:r>
        <w:t xml:space="preserve">Risk and control considerations</w:t>
      </w:r>
    </w:p>
    <w:bookmarkStart w:id="29" w:name="hallucination-and-accuracy"/>
    <w:p>
      <w:pPr>
        <w:pStyle w:val="Heading3"/>
      </w:pPr>
      <w:r>
        <w:t xml:space="preserve">Hallucination and accuracy</w:t>
      </w:r>
    </w:p>
    <w:p>
      <w:pPr>
        <w:pStyle w:val="FirstParagraph"/>
      </w:pPr>
      <w:r>
        <w:t xml:space="preserve">AI agents can generate plausible yet incorrect outputs. Grounding agents with retrieval-augmented generation and limiting them to fact-based tasks reduces this risk.</w:t>
      </w:r>
    </w:p>
    <w:bookmarkEnd w:id="29"/>
    <w:bookmarkStart w:id="30" w:name="data-privacy-and-leakage"/>
    <w:p>
      <w:pPr>
        <w:pStyle w:val="Heading3"/>
      </w:pPr>
      <w:r>
        <w:t xml:space="preserve">Data privacy and leakage</w:t>
      </w:r>
    </w:p>
    <w:p>
      <w:pPr>
        <w:pStyle w:val="FirstParagraph"/>
      </w:pPr>
      <w:r>
        <w:t xml:space="preserve">Banks must prevent sensitive customer or transaction data from being exposed to external model providers and must apply data minimization, encryption, and access controls.</w:t>
      </w:r>
    </w:p>
    <w:bookmarkEnd w:id="30"/>
    <w:bookmarkStart w:id="31" w:name="model-governance-and-vendor-risk"/>
    <w:p>
      <w:pPr>
        <w:pStyle w:val="Heading3"/>
      </w:pPr>
      <w:r>
        <w:t xml:space="preserve">Model governance and vendor risk</w:t>
      </w:r>
    </w:p>
    <w:p>
      <w:pPr>
        <w:pStyle w:val="FirstParagraph"/>
      </w:pPr>
      <w:r>
        <w:t xml:space="preserve">Third-party models and agent platforms introduce dependency and control risks. Banks need vendor due diligence, contract controls, and an exit plan.</w:t>
      </w:r>
    </w:p>
    <w:bookmarkEnd w:id="31"/>
    <w:bookmarkStart w:id="33" w:name="regulatory-and-audit-risk"/>
    <w:p>
      <w:pPr>
        <w:pStyle w:val="Heading3"/>
      </w:pPr>
      <w:r>
        <w:t xml:space="preserve">Regulatory and audit risk</w:t>
      </w:r>
    </w:p>
    <w:p>
      <w:pPr>
        <w:pStyle w:val="FirstParagraph"/>
      </w:pPr>
      <w:r>
        <w:t xml:space="preserve">Regulators will scrutinize how banks use AI agents, requiring audit trails, documentation of scope and supervision, and the ability to explain outputs. OECD financial-policy guidance and industry practice increasingly emphasize traceability and consumer protection in AI-enabled finance</w:t>
      </w:r>
      <w:r>
        <w:t xml:space="preserve"> </w:t>
      </w:r>
      <w:hyperlink r:id="rId32">
        <w:r>
          <w:rPr>
            <w:rStyle w:val="Hyperlink"/>
          </w:rPr>
          <w:t xml:space="preserve">OECD, 2026</w:t>
        </w:r>
      </w:hyperlink>
      <w:r>
        <w:t xml:space="preserve">.</w:t>
      </w:r>
    </w:p>
    <w:bookmarkEnd w:id="33"/>
    <w:bookmarkStart w:id="34" w:name="human-oversight-and-accountability"/>
    <w:p>
      <w:pPr>
        <w:pStyle w:val="Heading3"/>
      </w:pPr>
      <w:r>
        <w:t xml:space="preserve">Human oversight and accountability</w:t>
      </w:r>
    </w:p>
    <w:p>
      <w:pPr>
        <w:pStyle w:val="FirstParagraph"/>
      </w:pPr>
      <w:r>
        <w:t xml:space="preserve">Banks should enforce explicit authorization rules for agent actions, maintain an agent registry, and keep humans accountable for final decisions.</w:t>
      </w:r>
    </w:p>
    <w:bookmarkEnd w:id="34"/>
    <w:bookmarkEnd w:id="35"/>
    <w:bookmarkStart w:id="36" w:name="recommended-board-level-roadmap"/>
    <w:p>
      <w:pPr>
        <w:pStyle w:val="Heading2"/>
      </w:pPr>
      <w:r>
        <w:t xml:space="preserve">Recommended board-level roadmap</w:t>
      </w:r>
    </w:p>
    <w:p>
      <w:pPr>
        <w:pStyle w:val="Compact"/>
        <w:numPr>
          <w:ilvl w:val="0"/>
          <w:numId w:val="1003"/>
        </w:numPr>
      </w:pPr>
      <w:r>
        <w:t xml:space="preserve">Define a focused pilot portfolio: select 2–3 use cases with clear value and risk boundaries.</w:t>
      </w:r>
    </w:p>
    <w:p>
      <w:pPr>
        <w:pStyle w:val="Compact"/>
        <w:numPr>
          <w:ilvl w:val="0"/>
          <w:numId w:val="1003"/>
        </w:numPr>
      </w:pPr>
      <w:r>
        <w:t xml:space="preserve">Establish an AI governance forum: include risk, compliance, operations, technology, and business owners.</w:t>
      </w:r>
    </w:p>
    <w:p>
      <w:pPr>
        <w:pStyle w:val="Compact"/>
        <w:numPr>
          <w:ilvl w:val="0"/>
          <w:numId w:val="1003"/>
        </w:numPr>
      </w:pPr>
      <w:r>
        <w:t xml:space="preserve">Run controlled pilots: use narrow scope, human oversight, and clear measurement criteria.</w:t>
      </w:r>
    </w:p>
    <w:p>
      <w:pPr>
        <w:pStyle w:val="Compact"/>
        <w:numPr>
          <w:ilvl w:val="0"/>
          <w:numId w:val="1003"/>
        </w:numPr>
      </w:pPr>
      <w:r>
        <w:t xml:space="preserve">Embed controls in workflows: require audit logs, approval points, and model monitoring.</w:t>
      </w:r>
    </w:p>
    <w:p>
      <w:pPr>
        <w:pStyle w:val="Compact"/>
        <w:numPr>
          <w:ilvl w:val="0"/>
          <w:numId w:val="1003"/>
        </w:numPr>
      </w:pPr>
      <w:r>
        <w:t xml:space="preserve">Scale selectively: expand only where pilots prove reliability, compliance readiness, and measurable ROI.</w:t>
      </w:r>
    </w:p>
    <w:bookmarkEnd w:id="36"/>
    <w:bookmarkStart w:id="37" w:name="why-this-matters-to-the-board"/>
    <w:p>
      <w:pPr>
        <w:pStyle w:val="Heading2"/>
      </w:pPr>
      <w:r>
        <w:t xml:space="preserve">Why this matters to the board</w:t>
      </w:r>
    </w:p>
    <w:p>
      <w:pPr>
        <w:pStyle w:val="FirstParagraph"/>
      </w:pPr>
      <w:r>
        <w:t xml:space="preserve">AI agents are not a generic productivity tool; they are an operational capability that can reshape how banking tasks are executed. Boards should ensure any deployment is built on strong data governance, human oversight, and documented risk controls. Early deployments should focus on support and augmentation rather than full autonomy.</w:t>
      </w:r>
    </w:p>
    <w:bookmarkEnd w:id="37"/>
    <w:bookmarkStart w:id="38" w:name="citations"/>
    <w:p>
      <w:pPr>
        <w:pStyle w:val="Heading2"/>
      </w:pPr>
      <w:r>
        <w:t xml:space="preserve">Citations</w:t>
      </w:r>
    </w:p>
    <w:p>
      <w:pPr>
        <w:pStyle w:val="Compact"/>
        <w:numPr>
          <w:ilvl w:val="0"/>
          <w:numId w:val="1004"/>
        </w:numPr>
      </w:pPr>
      <w:r>
        <w:t xml:space="preserve">Deloitte, 2025.</w:t>
      </w:r>
      <w:r>
        <w:t xml:space="preserve"> </w:t>
      </w:r>
      <w:r>
        <w:t xml:space="preserve">“How banks can supercharge intelligent automation with agentic AI.”</w:t>
      </w:r>
      <w:r>
        <w:t xml:space="preserve"> </w:t>
      </w:r>
      <w:r>
        <w:t xml:space="preserve">https://www.deloitte.com/us/en/insights/industry/financial-services/agentic-ai-banking.html</w:t>
      </w:r>
    </w:p>
    <w:p>
      <w:pPr>
        <w:pStyle w:val="Compact"/>
        <w:numPr>
          <w:ilvl w:val="0"/>
          <w:numId w:val="1004"/>
        </w:numPr>
      </w:pPr>
      <w:r>
        <w:t xml:space="preserve">McKinsey, 2025.</w:t>
      </w:r>
      <w:r>
        <w:t xml:space="preserve"> </w:t>
      </w:r>
      <w:r>
        <w:t xml:space="preserve">“Banking’s agentic AI opportunity.”</w:t>
      </w:r>
      <w:r>
        <w:t xml:space="preserve"> </w:t>
      </w:r>
      <w:r>
        <w:t xml:space="preserve">https://www.mckinsey.com/featured-insights/week-in-charts/bankings-agentic-ai-opportunity</w:t>
      </w:r>
    </w:p>
    <w:p>
      <w:pPr>
        <w:pStyle w:val="Compact"/>
        <w:numPr>
          <w:ilvl w:val="0"/>
          <w:numId w:val="1004"/>
        </w:numPr>
      </w:pPr>
      <w:r>
        <w:t xml:space="preserve">NIST, 2023.</w:t>
      </w:r>
      <w:r>
        <w:t xml:space="preserve"> </w:t>
      </w:r>
      <w:r>
        <w:t xml:space="preserve">“AI Risk Management Framework (AI RMF) 1.0.”</w:t>
      </w:r>
      <w:r>
        <w:t xml:space="preserve"> </w:t>
      </w:r>
      <w:r>
        <w:t xml:space="preserve">https://nvlpubs.nist.gov/nistpubs/ai/NIST.AI.100-1.pdf</w:t>
      </w:r>
    </w:p>
    <w:p>
      <w:pPr>
        <w:pStyle w:val="Compact"/>
        <w:numPr>
          <w:ilvl w:val="0"/>
          <w:numId w:val="1004"/>
        </w:numPr>
      </w:pPr>
      <w:r>
        <w:t xml:space="preserve">NIST, 2024.</w:t>
      </w:r>
      <w:r>
        <w:t xml:space="preserve"> </w:t>
      </w:r>
      <w:r>
        <w:t xml:space="preserve">“Artificial Intelligence Risk Management Framework: Generative AI Profile.”</w:t>
      </w:r>
      <w:r>
        <w:t xml:space="preserve"> </w:t>
      </w:r>
      <w:r>
        <w:t xml:space="preserve">https://doi.org/10.6028/NIST.AI.600-1</w:t>
      </w:r>
    </w:p>
    <w:p>
      <w:pPr>
        <w:pStyle w:val="Compact"/>
        <w:numPr>
          <w:ilvl w:val="0"/>
          <w:numId w:val="1004"/>
        </w:numPr>
      </w:pPr>
      <w:r>
        <w:t xml:space="preserve">OECD, 2026.</w:t>
      </w:r>
      <w:r>
        <w:t xml:space="preserve"> </w:t>
      </w:r>
      <w:r>
        <w:t xml:space="preserve">“Artificial intelligence and personal finance.”</w:t>
      </w:r>
      <w:r>
        <w:t xml:space="preserve"> </w:t>
      </w:r>
      <w:r>
        <w:t xml:space="preserve">https://www.oecd.org/en/publications/artificial-intelligence-and-personal-finance_2858fdf4-en.html</w:t>
      </w:r>
    </w:p>
    <w:p>
      <w:pPr>
        <w:pStyle w:val="Compact"/>
        <w:numPr>
          <w:ilvl w:val="0"/>
          <w:numId w:val="1004"/>
        </w:numPr>
      </w:pPr>
      <w:r>
        <w:t xml:space="preserve">OECD, 2026.</w:t>
      </w:r>
      <w:r>
        <w:t xml:space="preserve"> </w:t>
      </w:r>
      <w:r>
        <w:t xml:space="preserve">“Artificial intelligence and open finance.”</w:t>
      </w:r>
      <w:r>
        <w:t xml:space="preserve"> </w:t>
      </w:r>
      <w:r>
        <w:t xml:space="preserve">https://www.oecd.org/en/publications/artificial-intelligence-and-open-finance_eb511c3c-en.html</w:t>
      </w:r>
    </w:p>
    <w:bookmarkEnd w:id="38"/>
    <w:bookmarkStart w:id="39" w:name="caveats"/>
    <w:p>
      <w:pPr>
        <w:pStyle w:val="Heading2"/>
      </w:pPr>
      <w:r>
        <w:t xml:space="preserve">Caveats</w:t>
      </w:r>
    </w:p>
    <w:p>
      <w:pPr>
        <w:pStyle w:val="FirstParagraph"/>
      </w:pPr>
      <w:r>
        <w:t xml:space="preserve">This report relies on publicly available industry insight articles and regulatory framework publications. Some content is synthesized from accessible summary text and industry commentary rather than full underlying proprietary reports.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doi.org/10.6028/NIST.AI.600-1" TargetMode="External" /><Relationship Type="http://schemas.openxmlformats.org/officeDocument/2006/relationships/hyperlink" Id="rId13" Target="https://nvlpubs.nist.gov/nistpubs/ai/NIST.AI.100-1.pdf" TargetMode="External" /><Relationship Type="http://schemas.openxmlformats.org/officeDocument/2006/relationships/hyperlink" Id="rId11" Target="https://www.deloitte.com/us/en/insights/industry/financial-services/agentic-ai-banking.html" TargetMode="External" /><Relationship Type="http://schemas.openxmlformats.org/officeDocument/2006/relationships/hyperlink" Id="rId12" Target="https://www.mckinsey.com/featured-insights/week-in-charts/bankings-agentic-ai-opportunity" TargetMode="External" /><Relationship Type="http://schemas.openxmlformats.org/officeDocument/2006/relationships/hyperlink" Id="rId32" Target="https://www.oecd.org/en/publications/artificial-intelligence-and-personal-finance_2858fdf4-en.html" TargetMode="External" /></Relationships>
</file>

<file path=word/_rels/footnotes.xml.rels><?xml version="1.0" encoding="UTF-8"?><Relationships xmlns="http://schemas.openxmlformats.org/package/2006/relationships"><Relationship Type="http://schemas.openxmlformats.org/officeDocument/2006/relationships/hyperlink" Id="rId14" Target="https://doi.org/10.6028/NIST.AI.600-1" TargetMode="External" /><Relationship Type="http://schemas.openxmlformats.org/officeDocument/2006/relationships/hyperlink" Id="rId13" Target="https://nvlpubs.nist.gov/nistpubs/ai/NIST.AI.100-1.pdf" TargetMode="External" /><Relationship Type="http://schemas.openxmlformats.org/officeDocument/2006/relationships/hyperlink" Id="rId11" Target="https://www.deloitte.com/us/en/insights/industry/financial-services/agentic-ai-banking.html" TargetMode="External" /><Relationship Type="http://schemas.openxmlformats.org/officeDocument/2006/relationships/hyperlink" Id="rId12" Target="https://www.mckinsey.com/featured-insights/week-in-charts/bankings-agentic-ai-opportunity" TargetMode="External" /><Relationship Type="http://schemas.openxmlformats.org/officeDocument/2006/relationships/hyperlink" Id="rId32" Target="https://www.oecd.org/en/publications/artificial-intelligence-and-personal-finance_2858fdf4-e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2026-07-23T09:10:25Z</dcterms:created>
  <dcterms:modified xsi:type="dcterms:W3CDTF">2026-07-23T09:10:25Z</dcterms:modified>
</cp:coreProperties>
</file>

<file path=docProps/custom.xml><?xml version="1.0" encoding="utf-8"?>
<Properties xmlns="http://schemas.openxmlformats.org/officeDocument/2006/custom-properties" xmlns:vt="http://schemas.openxmlformats.org/officeDocument/2006/docPropsVTypes"/>
</file>