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78AD" w14:textId="77777777" w:rsidR="00400D99" w:rsidRDefault="00000000">
      <w:pPr>
        <w:pStyle w:val="Heading1"/>
      </w:pPr>
      <w:bookmarkStart w:id="0" w:name="Xfb4c417b590db29f03b3f32ebc59172ddd4690b"/>
      <w:r>
        <w:t>System Capacity and Care Load Analytics for Unaccompanied Children: A Data-Driven Framework for Monitoring Healthcare System Sustainability</w:t>
      </w:r>
    </w:p>
    <w:p w14:paraId="41322BD0" w14:textId="77777777" w:rsidR="00400D99" w:rsidRDefault="00000000">
      <w:pPr>
        <w:pStyle w:val="Heading2"/>
      </w:pPr>
      <w:bookmarkStart w:id="1" w:name="author"/>
      <w:r>
        <w:t>Author</w:t>
      </w:r>
    </w:p>
    <w:p w14:paraId="3CC78F6D" w14:textId="1D25C588" w:rsidR="00400D99" w:rsidRDefault="00000000">
      <w:pPr>
        <w:pStyle w:val="FirstParagraph"/>
      </w:pPr>
      <w:r>
        <w:t>Nibhisha</w:t>
      </w:r>
      <w:r w:rsidR="00161115">
        <w:t xml:space="preserve"> S Kakrania</w:t>
      </w:r>
    </w:p>
    <w:p w14:paraId="4ED6104E" w14:textId="77777777" w:rsidR="00400D99" w:rsidRDefault="00000000">
      <w:pPr>
        <w:pStyle w:val="Heading2"/>
      </w:pPr>
      <w:bookmarkStart w:id="2" w:name="abstract"/>
      <w:bookmarkEnd w:id="1"/>
      <w:r>
        <w:t>Abstract</w:t>
      </w:r>
    </w:p>
    <w:p w14:paraId="053C53A9" w14:textId="77777777" w:rsidR="00400D99" w:rsidRDefault="00000000">
      <w:pPr>
        <w:pStyle w:val="FirstParagraph"/>
      </w:pPr>
      <w:r>
        <w:t>The Unaccompanied Alien Children (UAC) Program administered by the U.S. Department of Health and Human Services (HHS) represents a complex humanitarian and healthcare delivery system responsible for the protection, sheltering, medical assessment, and reunification of children entering the United States without a parent or legal guardian. Effective operation of this system requires continuous monitoring of care capacity, resource utilization, and population flow dynamics.</w:t>
      </w:r>
    </w:p>
    <w:p w14:paraId="76622D45" w14:textId="77777777" w:rsidR="00400D99" w:rsidRDefault="00000000">
      <w:pPr>
        <w:pStyle w:val="BodyText"/>
      </w:pPr>
      <w:r>
        <w:t>This research develops a healthcare capacity analytics framework using operational data from January 2023 through December 2025. By integrating custody populations, transfer activity, discharge processes, and active care loads, the framework provides actionable indicators for measuring operational sustainability. Key metrics include Total System Load, Net Daily Intake, Backlog Accumulation, Discharge Offset Ratio, and Capacity Stress Indicators.</w:t>
      </w:r>
    </w:p>
    <w:p w14:paraId="2F6F96B8" w14:textId="77777777" w:rsidR="00400D99" w:rsidRDefault="00000000">
      <w:pPr>
        <w:pStyle w:val="BodyText"/>
      </w:pPr>
      <w:r>
        <w:t>Analysis identified substantial fluctuations in system demand, with a peak care load of 11,762 children and an average system load of 6,232 children. Results demonstrate the importance of sponsor placement efficiency in reducing backlog pressure and maintaining sustainable care operations. The proposed framework supports evidence-based decision-making and provides a scalable model for healthcare capacity monitoring within humanitarian response systems.</w:t>
      </w:r>
    </w:p>
    <w:p w14:paraId="66F5E4FC" w14:textId="77777777" w:rsidR="00400D99" w:rsidRDefault="00000000">
      <w:pPr>
        <w:pStyle w:val="BodyText"/>
      </w:pPr>
      <w:r>
        <w:rPr>
          <w:b/>
          <w:bCs/>
        </w:rPr>
        <w:t>Keywords:</w:t>
      </w:r>
      <w:r>
        <w:t xml:space="preserve"> Healthcare Analytics, Capacity Planning, Humanitarian Operations, Child Welfare, Public Health Analytics, Time-Series Analysis, Decision Support Systems</w:t>
      </w:r>
    </w:p>
    <w:p w14:paraId="025E9714" w14:textId="77777777" w:rsidR="00400D99" w:rsidRDefault="00000000">
      <w:r>
        <w:pict w14:anchorId="4C2653E9">
          <v:rect id="_x0000_i1025" style="width:0;height:1.5pt" o:hralign="center" o:hrstd="t" o:hr="t"/>
        </w:pict>
      </w:r>
    </w:p>
    <w:p w14:paraId="01D69397" w14:textId="77777777" w:rsidR="00400D99" w:rsidRDefault="00000000">
      <w:pPr>
        <w:pStyle w:val="Heading1"/>
      </w:pPr>
      <w:bookmarkStart w:id="3" w:name="introduction"/>
      <w:bookmarkEnd w:id="0"/>
      <w:bookmarkEnd w:id="2"/>
      <w:r>
        <w:t>1. Introduction</w:t>
      </w:r>
    </w:p>
    <w:p w14:paraId="1FE8B99D" w14:textId="77777777" w:rsidR="00400D99" w:rsidRDefault="00000000">
      <w:pPr>
        <w:pStyle w:val="FirstParagraph"/>
      </w:pPr>
      <w:r>
        <w:t xml:space="preserve">The Unaccompanied Alien Children (UAC) Program serves as a critical component of the United States humanitarian response framework. Children apprehended by U.S. Customs and Border Protection (CBP) are transferred into the custody of the Department of Health </w:t>
      </w:r>
      <w:r>
        <w:lastRenderedPageBreak/>
        <w:t>and Human Services (HHS), where they receive healthcare, shelter, educational services, and welfare support until reunification with approved sponsors.</w:t>
      </w:r>
    </w:p>
    <w:p w14:paraId="3E257786" w14:textId="77777777" w:rsidR="00400D99" w:rsidRDefault="00000000">
      <w:pPr>
        <w:pStyle w:val="BodyText"/>
      </w:pPr>
      <w:r>
        <w:t>As migration patterns fluctuate, federal agencies face significant challenges in maintaining sufficient care capacity while ensuring high-quality service delivery. Periods of increased arrivals may lead to overcrowding, higher healthcare demand, staffing pressures, and resource allocation challenges.</w:t>
      </w:r>
    </w:p>
    <w:p w14:paraId="3E672A6B" w14:textId="77777777" w:rsidR="00400D99" w:rsidRDefault="00000000">
      <w:pPr>
        <w:pStyle w:val="BodyText"/>
      </w:pPr>
      <w:r>
        <w:t>Traditional reporting mechanisms primarily provide operational counts but often fail to deliver strategic insights regarding capacity utilization, system sustainability, and future resource requirements. This study addresses this limitation by developing a comprehensive analytics framework for monitoring and evaluating care system performance.</w:t>
      </w:r>
    </w:p>
    <w:p w14:paraId="16D32370" w14:textId="77777777" w:rsidR="00400D99" w:rsidRDefault="00000000">
      <w:r>
        <w:pict w14:anchorId="756DEB2E">
          <v:rect id="_x0000_i1026" style="width:0;height:1.5pt" o:hralign="center" o:hrstd="t" o:hr="t"/>
        </w:pict>
      </w:r>
    </w:p>
    <w:p w14:paraId="3D034DFD" w14:textId="77777777" w:rsidR="00400D99" w:rsidRDefault="00000000">
      <w:pPr>
        <w:pStyle w:val="Heading1"/>
      </w:pPr>
      <w:bookmarkStart w:id="4" w:name="literature-review"/>
      <w:bookmarkEnd w:id="3"/>
      <w:r>
        <w:t>2. Literature Review</w:t>
      </w:r>
    </w:p>
    <w:p w14:paraId="42D3B5A2" w14:textId="77777777" w:rsidR="00400D99" w:rsidRDefault="00000000">
      <w:pPr>
        <w:pStyle w:val="FirstParagraph"/>
      </w:pPr>
      <w:r>
        <w:t>Healthcare operations research consistently emphasizes the importance of capacity planning, demand forecasting, and resource optimization. Similar principles are applicable within humanitarian care systems where service demand can fluctuate rapidly.</w:t>
      </w:r>
    </w:p>
    <w:p w14:paraId="4EEBCFB5" w14:textId="77777777" w:rsidR="00400D99" w:rsidRDefault="00000000">
      <w:pPr>
        <w:pStyle w:val="BodyText"/>
      </w:pPr>
      <w:r>
        <w:t>Studies in healthcare management demonstrate that real-time monitoring systems improve operational responsiveness and reduce the risk of resource shortages. Humanitarian logistics research further highlights the role of predictive analytics in improving emergency preparedness and response efficiency.</w:t>
      </w:r>
    </w:p>
    <w:p w14:paraId="478C3403" w14:textId="77777777" w:rsidR="00400D99" w:rsidRDefault="00000000">
      <w:pPr>
        <w:pStyle w:val="BodyText"/>
      </w:pPr>
      <w:r>
        <w:t>Despite extensive literature on hospital capacity management and public health operations, limited research has examined integrated analytical frameworks specifically designed for child welfare care systems. This study contributes to the field by adapting healthcare capacity management principles to the operational realities of the UAC program.</w:t>
      </w:r>
    </w:p>
    <w:p w14:paraId="68B42816" w14:textId="77777777" w:rsidR="00400D99" w:rsidRDefault="00000000">
      <w:r>
        <w:pict w14:anchorId="14E4463D">
          <v:rect id="_x0000_i1027" style="width:0;height:1.5pt" o:hralign="center" o:hrstd="t" o:hr="t"/>
        </w:pict>
      </w:r>
    </w:p>
    <w:p w14:paraId="6272BB64" w14:textId="77777777" w:rsidR="00400D99" w:rsidRDefault="00000000">
      <w:pPr>
        <w:pStyle w:val="Heading1"/>
      </w:pPr>
      <w:bookmarkStart w:id="5" w:name="research-objectives"/>
      <w:bookmarkEnd w:id="4"/>
      <w:r>
        <w:t>3. Research Objectives</w:t>
      </w:r>
    </w:p>
    <w:p w14:paraId="668BDEA4" w14:textId="77777777" w:rsidR="00400D99" w:rsidRDefault="00000000">
      <w:pPr>
        <w:pStyle w:val="Heading3"/>
      </w:pPr>
      <w:bookmarkStart w:id="6" w:name="primary-objectives"/>
      <w:r>
        <w:t>Primary Objectives</w:t>
      </w:r>
    </w:p>
    <w:p w14:paraId="1EE92853" w14:textId="77777777" w:rsidR="00400D99" w:rsidRDefault="00000000">
      <w:pPr>
        <w:pStyle w:val="Compact"/>
        <w:numPr>
          <w:ilvl w:val="0"/>
          <w:numId w:val="2"/>
        </w:numPr>
      </w:pPr>
      <w:r>
        <w:t>Quantify daily and cumulative care system load.</w:t>
      </w:r>
    </w:p>
    <w:p w14:paraId="71BCBD75" w14:textId="77777777" w:rsidR="00400D99" w:rsidRDefault="00000000">
      <w:pPr>
        <w:pStyle w:val="Compact"/>
        <w:numPr>
          <w:ilvl w:val="0"/>
          <w:numId w:val="2"/>
        </w:numPr>
      </w:pPr>
      <w:r>
        <w:t>Evaluate balance between intake and discharge activities.</w:t>
      </w:r>
    </w:p>
    <w:p w14:paraId="70BD3261" w14:textId="77777777" w:rsidR="00400D99" w:rsidRDefault="00000000">
      <w:pPr>
        <w:pStyle w:val="Compact"/>
        <w:numPr>
          <w:ilvl w:val="0"/>
          <w:numId w:val="2"/>
        </w:numPr>
      </w:pPr>
      <w:r>
        <w:t>Identify periods of capacity stress and relief.</w:t>
      </w:r>
    </w:p>
    <w:p w14:paraId="25429D44" w14:textId="77777777" w:rsidR="00400D99" w:rsidRDefault="00000000">
      <w:pPr>
        <w:pStyle w:val="Compact"/>
        <w:numPr>
          <w:ilvl w:val="0"/>
          <w:numId w:val="2"/>
        </w:numPr>
      </w:pPr>
      <w:r>
        <w:t>Monitor backlog accumulation patterns.</w:t>
      </w:r>
    </w:p>
    <w:p w14:paraId="0797EE15" w14:textId="77777777" w:rsidR="00400D99" w:rsidRDefault="00000000">
      <w:pPr>
        <w:pStyle w:val="Compact"/>
        <w:numPr>
          <w:ilvl w:val="0"/>
          <w:numId w:val="2"/>
        </w:numPr>
      </w:pPr>
      <w:r>
        <w:t>Assess long-term operational sustainability.</w:t>
      </w:r>
    </w:p>
    <w:p w14:paraId="6A954DD4" w14:textId="77777777" w:rsidR="00400D99" w:rsidRDefault="00000000">
      <w:pPr>
        <w:pStyle w:val="Heading3"/>
      </w:pPr>
      <w:bookmarkStart w:id="7" w:name="secondary-objectives"/>
      <w:bookmarkEnd w:id="6"/>
      <w:r>
        <w:lastRenderedPageBreak/>
        <w:t>Secondary Objectives</w:t>
      </w:r>
    </w:p>
    <w:p w14:paraId="7CD7B2AD" w14:textId="77777777" w:rsidR="00400D99" w:rsidRDefault="00000000">
      <w:pPr>
        <w:pStyle w:val="Compact"/>
        <w:numPr>
          <w:ilvl w:val="0"/>
          <w:numId w:val="3"/>
        </w:numPr>
      </w:pPr>
      <w:r>
        <w:t>Support workforce planning.</w:t>
      </w:r>
    </w:p>
    <w:p w14:paraId="79EE8FEE" w14:textId="77777777" w:rsidR="00400D99" w:rsidRDefault="00000000">
      <w:pPr>
        <w:pStyle w:val="Compact"/>
        <w:numPr>
          <w:ilvl w:val="0"/>
          <w:numId w:val="3"/>
        </w:numPr>
      </w:pPr>
      <w:r>
        <w:t>Improve shelter allocation decisions.</w:t>
      </w:r>
    </w:p>
    <w:p w14:paraId="50148BAE" w14:textId="77777777" w:rsidR="00400D99" w:rsidRDefault="00000000">
      <w:pPr>
        <w:pStyle w:val="Compact"/>
        <w:numPr>
          <w:ilvl w:val="0"/>
          <w:numId w:val="3"/>
        </w:numPr>
      </w:pPr>
      <w:r>
        <w:t>Enhance situational awareness.</w:t>
      </w:r>
    </w:p>
    <w:p w14:paraId="3F3F738B" w14:textId="77777777" w:rsidR="00400D99" w:rsidRDefault="00000000">
      <w:pPr>
        <w:pStyle w:val="Compact"/>
        <w:numPr>
          <w:ilvl w:val="0"/>
          <w:numId w:val="3"/>
        </w:numPr>
      </w:pPr>
      <w:r>
        <w:t>Enable data-driven policy evaluation.</w:t>
      </w:r>
    </w:p>
    <w:p w14:paraId="00407377" w14:textId="77777777" w:rsidR="00400D99" w:rsidRDefault="00000000">
      <w:r>
        <w:pict w14:anchorId="146755D3">
          <v:rect id="_x0000_i1028" style="width:0;height:1.5pt" o:hralign="center" o:hrstd="t" o:hr="t"/>
        </w:pict>
      </w:r>
    </w:p>
    <w:p w14:paraId="439A5926" w14:textId="77777777" w:rsidR="00400D99" w:rsidRDefault="00000000">
      <w:pPr>
        <w:pStyle w:val="Heading1"/>
      </w:pPr>
      <w:bookmarkStart w:id="8" w:name="dataset-description"/>
      <w:bookmarkEnd w:id="5"/>
      <w:bookmarkEnd w:id="7"/>
      <w:r>
        <w:t>4. Dataset Description</w:t>
      </w:r>
    </w:p>
    <w:p w14:paraId="135AD423" w14:textId="77777777" w:rsidR="00400D99" w:rsidRDefault="00000000">
      <w:pPr>
        <w:pStyle w:val="FirstParagraph"/>
      </w:pPr>
      <w:r>
        <w:t>The dataset contains daily operational observations from January 2023 through December 2025.</w:t>
      </w:r>
    </w:p>
    <w:tbl>
      <w:tblPr>
        <w:tblStyle w:val="Table"/>
        <w:tblW w:w="0" w:type="auto"/>
        <w:tblLook w:val="0020" w:firstRow="1" w:lastRow="0" w:firstColumn="0" w:lastColumn="0" w:noHBand="0" w:noVBand="0"/>
      </w:tblPr>
      <w:tblGrid>
        <w:gridCol w:w="2764"/>
        <w:gridCol w:w="3380"/>
      </w:tblGrid>
      <w:tr w:rsidR="00400D99" w14:paraId="287A9FF8" w14:textId="77777777" w:rsidTr="00400D99">
        <w:trPr>
          <w:cnfStyle w:val="100000000000" w:firstRow="1" w:lastRow="0" w:firstColumn="0" w:lastColumn="0" w:oddVBand="0" w:evenVBand="0" w:oddHBand="0" w:evenHBand="0" w:firstRowFirstColumn="0" w:firstRowLastColumn="0" w:lastRowFirstColumn="0" w:lastRowLastColumn="0"/>
          <w:tblHeader/>
        </w:trPr>
        <w:tc>
          <w:tcPr>
            <w:tcW w:w="0" w:type="auto"/>
          </w:tcPr>
          <w:p w14:paraId="1E88EF99" w14:textId="77777777" w:rsidR="00400D99" w:rsidRDefault="00000000">
            <w:pPr>
              <w:pStyle w:val="Compact"/>
            </w:pPr>
            <w:r>
              <w:t>Variable</w:t>
            </w:r>
          </w:p>
        </w:tc>
        <w:tc>
          <w:tcPr>
            <w:tcW w:w="0" w:type="auto"/>
          </w:tcPr>
          <w:p w14:paraId="065C92DB" w14:textId="77777777" w:rsidR="00400D99" w:rsidRDefault="00000000">
            <w:pPr>
              <w:pStyle w:val="Compact"/>
            </w:pPr>
            <w:r>
              <w:t>Description</w:t>
            </w:r>
          </w:p>
        </w:tc>
      </w:tr>
      <w:tr w:rsidR="00400D99" w14:paraId="1A1ADC9B" w14:textId="77777777">
        <w:tc>
          <w:tcPr>
            <w:tcW w:w="0" w:type="auto"/>
          </w:tcPr>
          <w:p w14:paraId="0357C0B8" w14:textId="77777777" w:rsidR="00400D99" w:rsidRDefault="00000000">
            <w:pPr>
              <w:pStyle w:val="Compact"/>
            </w:pPr>
            <w:r>
              <w:t>Date</w:t>
            </w:r>
          </w:p>
        </w:tc>
        <w:tc>
          <w:tcPr>
            <w:tcW w:w="0" w:type="auto"/>
          </w:tcPr>
          <w:p w14:paraId="5888FB3B" w14:textId="77777777" w:rsidR="00400D99" w:rsidRDefault="00000000">
            <w:pPr>
              <w:pStyle w:val="Compact"/>
            </w:pPr>
            <w:r>
              <w:t>Reporting date</w:t>
            </w:r>
          </w:p>
        </w:tc>
      </w:tr>
      <w:tr w:rsidR="00400D99" w14:paraId="5800F308" w14:textId="77777777">
        <w:tc>
          <w:tcPr>
            <w:tcW w:w="0" w:type="auto"/>
          </w:tcPr>
          <w:p w14:paraId="138DD571" w14:textId="77777777" w:rsidR="00400D99" w:rsidRDefault="00000000">
            <w:pPr>
              <w:pStyle w:val="Compact"/>
            </w:pPr>
            <w:r>
              <w:t>Children Apprehended</w:t>
            </w:r>
          </w:p>
        </w:tc>
        <w:tc>
          <w:tcPr>
            <w:tcW w:w="0" w:type="auto"/>
          </w:tcPr>
          <w:p w14:paraId="43420D31" w14:textId="77777777" w:rsidR="00400D99" w:rsidRDefault="00000000">
            <w:pPr>
              <w:pStyle w:val="Compact"/>
            </w:pPr>
            <w:r>
              <w:t>Daily intake volume</w:t>
            </w:r>
          </w:p>
        </w:tc>
      </w:tr>
      <w:tr w:rsidR="00400D99" w14:paraId="4C110783" w14:textId="77777777">
        <w:tc>
          <w:tcPr>
            <w:tcW w:w="0" w:type="auto"/>
          </w:tcPr>
          <w:p w14:paraId="377858C4" w14:textId="77777777" w:rsidR="00400D99" w:rsidRDefault="00000000">
            <w:pPr>
              <w:pStyle w:val="Compact"/>
            </w:pPr>
            <w:r>
              <w:t>Children in CBP Custody</w:t>
            </w:r>
          </w:p>
        </w:tc>
        <w:tc>
          <w:tcPr>
            <w:tcW w:w="0" w:type="auto"/>
          </w:tcPr>
          <w:p w14:paraId="1EF22F65" w14:textId="77777777" w:rsidR="00400D99" w:rsidRDefault="00000000">
            <w:pPr>
              <w:pStyle w:val="Compact"/>
            </w:pPr>
            <w:r>
              <w:t>Active CBP population</w:t>
            </w:r>
          </w:p>
        </w:tc>
      </w:tr>
      <w:tr w:rsidR="00400D99" w14:paraId="72D7438F" w14:textId="77777777">
        <w:tc>
          <w:tcPr>
            <w:tcW w:w="0" w:type="auto"/>
          </w:tcPr>
          <w:p w14:paraId="445A13EB" w14:textId="77777777" w:rsidR="00400D99" w:rsidRDefault="00000000">
            <w:pPr>
              <w:pStyle w:val="Compact"/>
            </w:pPr>
            <w:r>
              <w:t>Children Transferred</w:t>
            </w:r>
          </w:p>
        </w:tc>
        <w:tc>
          <w:tcPr>
            <w:tcW w:w="0" w:type="auto"/>
          </w:tcPr>
          <w:p w14:paraId="4EBAE45B" w14:textId="77777777" w:rsidR="00400D99" w:rsidRDefault="00000000">
            <w:pPr>
              <w:pStyle w:val="Compact"/>
            </w:pPr>
            <w:r>
              <w:t>Daily movement into HHS care</w:t>
            </w:r>
          </w:p>
        </w:tc>
      </w:tr>
      <w:tr w:rsidR="00400D99" w14:paraId="7617BBFF" w14:textId="77777777">
        <w:tc>
          <w:tcPr>
            <w:tcW w:w="0" w:type="auto"/>
          </w:tcPr>
          <w:p w14:paraId="4747B03F" w14:textId="77777777" w:rsidR="00400D99" w:rsidRDefault="00000000">
            <w:pPr>
              <w:pStyle w:val="Compact"/>
            </w:pPr>
            <w:r>
              <w:t>Children in HHS Care</w:t>
            </w:r>
          </w:p>
        </w:tc>
        <w:tc>
          <w:tcPr>
            <w:tcW w:w="0" w:type="auto"/>
          </w:tcPr>
          <w:p w14:paraId="24413EEC" w14:textId="77777777" w:rsidR="00400D99" w:rsidRDefault="00000000">
            <w:pPr>
              <w:pStyle w:val="Compact"/>
            </w:pPr>
            <w:r>
              <w:t>Active HHS population</w:t>
            </w:r>
          </w:p>
        </w:tc>
      </w:tr>
      <w:tr w:rsidR="00400D99" w14:paraId="0FA81316" w14:textId="77777777">
        <w:tc>
          <w:tcPr>
            <w:tcW w:w="0" w:type="auto"/>
          </w:tcPr>
          <w:p w14:paraId="079424CB" w14:textId="77777777" w:rsidR="00400D99" w:rsidRDefault="00000000">
            <w:pPr>
              <w:pStyle w:val="Compact"/>
            </w:pPr>
            <w:r>
              <w:t>Children Discharged</w:t>
            </w:r>
          </w:p>
        </w:tc>
        <w:tc>
          <w:tcPr>
            <w:tcW w:w="0" w:type="auto"/>
          </w:tcPr>
          <w:p w14:paraId="59543CA9" w14:textId="77777777" w:rsidR="00400D99" w:rsidRDefault="00000000">
            <w:pPr>
              <w:pStyle w:val="Compact"/>
            </w:pPr>
            <w:r>
              <w:t>Sponsor placements</w:t>
            </w:r>
          </w:p>
        </w:tc>
      </w:tr>
    </w:tbl>
    <w:p w14:paraId="3DF0F7DA" w14:textId="77777777" w:rsidR="00400D99" w:rsidRDefault="00000000">
      <w:r>
        <w:pict w14:anchorId="5B5433F3">
          <v:rect id="_x0000_i1029" style="width:0;height:1.5pt" o:hralign="center" o:hrstd="t" o:hr="t"/>
        </w:pict>
      </w:r>
    </w:p>
    <w:p w14:paraId="60613D43" w14:textId="77777777" w:rsidR="00400D99" w:rsidRDefault="00000000">
      <w:pPr>
        <w:pStyle w:val="Heading1"/>
      </w:pPr>
      <w:bookmarkStart w:id="9" w:name="methodology"/>
      <w:bookmarkEnd w:id="8"/>
      <w:r>
        <w:t>5. Methodology</w:t>
      </w:r>
    </w:p>
    <w:p w14:paraId="0D780FBB" w14:textId="77777777" w:rsidR="00400D99" w:rsidRDefault="00000000">
      <w:pPr>
        <w:pStyle w:val="FirstParagraph"/>
      </w:pPr>
      <w:r>
        <w:t>The study employs a quantitative time-series analytics approach.</w:t>
      </w:r>
    </w:p>
    <w:p w14:paraId="52002AFC" w14:textId="77777777" w:rsidR="00400D99" w:rsidRDefault="00000000">
      <w:pPr>
        <w:pStyle w:val="Heading3"/>
      </w:pPr>
      <w:bookmarkStart w:id="10" w:name="data-preparation"/>
      <w:r>
        <w:t>Data Preparation</w:t>
      </w:r>
    </w:p>
    <w:p w14:paraId="6B7DEC45" w14:textId="77777777" w:rsidR="00400D99" w:rsidRDefault="00000000">
      <w:pPr>
        <w:pStyle w:val="Compact"/>
        <w:numPr>
          <w:ilvl w:val="0"/>
          <w:numId w:val="4"/>
        </w:numPr>
      </w:pPr>
      <w:r>
        <w:t>Date normalization</w:t>
      </w:r>
    </w:p>
    <w:p w14:paraId="58DE1464" w14:textId="77777777" w:rsidR="00400D99" w:rsidRDefault="00000000">
      <w:pPr>
        <w:pStyle w:val="Compact"/>
        <w:numPr>
          <w:ilvl w:val="0"/>
          <w:numId w:val="4"/>
        </w:numPr>
      </w:pPr>
      <w:r>
        <w:t>Missing date identification</w:t>
      </w:r>
    </w:p>
    <w:p w14:paraId="5AC12DF2" w14:textId="77777777" w:rsidR="00400D99" w:rsidRDefault="00000000">
      <w:pPr>
        <w:pStyle w:val="Compact"/>
        <w:numPr>
          <w:ilvl w:val="0"/>
          <w:numId w:val="4"/>
        </w:numPr>
      </w:pPr>
      <w:r>
        <w:t>Duplicate detection</w:t>
      </w:r>
    </w:p>
    <w:p w14:paraId="400C9327" w14:textId="77777777" w:rsidR="00400D99" w:rsidRDefault="00000000">
      <w:pPr>
        <w:pStyle w:val="Compact"/>
        <w:numPr>
          <w:ilvl w:val="0"/>
          <w:numId w:val="4"/>
        </w:numPr>
      </w:pPr>
      <w:r>
        <w:t>Chronological ordering</w:t>
      </w:r>
    </w:p>
    <w:p w14:paraId="3D760AC5" w14:textId="77777777" w:rsidR="00400D99" w:rsidRDefault="00000000">
      <w:pPr>
        <w:pStyle w:val="Compact"/>
        <w:numPr>
          <w:ilvl w:val="0"/>
          <w:numId w:val="4"/>
        </w:numPr>
      </w:pPr>
      <w:r>
        <w:t>Logical consistency validation</w:t>
      </w:r>
    </w:p>
    <w:p w14:paraId="74880BF8" w14:textId="77777777" w:rsidR="00400D99" w:rsidRDefault="00000000">
      <w:pPr>
        <w:pStyle w:val="Heading3"/>
      </w:pPr>
      <w:bookmarkStart w:id="11" w:name="derived-metrics"/>
      <w:bookmarkEnd w:id="10"/>
      <w:r>
        <w:t>Derived Metrics</w:t>
      </w:r>
    </w:p>
    <w:p w14:paraId="22401238" w14:textId="77777777" w:rsidR="00400D99" w:rsidRDefault="00000000">
      <w:pPr>
        <w:pStyle w:val="FirstParagraph"/>
      </w:pPr>
      <w:r>
        <w:rPr>
          <w:b/>
          <w:bCs/>
        </w:rPr>
        <w:t>Total System Load</w:t>
      </w:r>
    </w:p>
    <w:p w14:paraId="0F07C231" w14:textId="77777777" w:rsidR="00400D99" w:rsidRDefault="00000000">
      <w:pPr>
        <w:pStyle w:val="BodyText"/>
      </w:pPr>
      <w:r>
        <w:t>Total System Load = CBP Custody + HHS Care</w:t>
      </w:r>
    </w:p>
    <w:p w14:paraId="37B18F18" w14:textId="77777777" w:rsidR="00400D99" w:rsidRDefault="00000000">
      <w:pPr>
        <w:pStyle w:val="BodyText"/>
      </w:pPr>
      <w:r>
        <w:rPr>
          <w:b/>
          <w:bCs/>
        </w:rPr>
        <w:t>Net Daily Intake</w:t>
      </w:r>
    </w:p>
    <w:p w14:paraId="31CB5586" w14:textId="77777777" w:rsidR="00400D99" w:rsidRDefault="00000000">
      <w:pPr>
        <w:pStyle w:val="BodyText"/>
      </w:pPr>
      <w:r>
        <w:t>Net Daily Intake = Transfers − Discharges</w:t>
      </w:r>
    </w:p>
    <w:p w14:paraId="609CCC4C" w14:textId="77777777" w:rsidR="00400D99" w:rsidRDefault="00000000">
      <w:pPr>
        <w:pStyle w:val="BodyText"/>
      </w:pPr>
      <w:r>
        <w:rPr>
          <w:b/>
          <w:bCs/>
        </w:rPr>
        <w:lastRenderedPageBreak/>
        <w:t>Backlog Indicator</w:t>
      </w:r>
    </w:p>
    <w:p w14:paraId="7A56588C" w14:textId="77777777" w:rsidR="00400D99" w:rsidRDefault="00000000">
      <w:pPr>
        <w:pStyle w:val="BodyText"/>
      </w:pPr>
      <w:r>
        <w:t>Cumulative Net Daily Intake</w:t>
      </w:r>
    </w:p>
    <w:p w14:paraId="5D8FE400" w14:textId="77777777" w:rsidR="00400D99" w:rsidRDefault="00000000">
      <w:pPr>
        <w:pStyle w:val="BodyText"/>
      </w:pPr>
      <w:r>
        <w:rPr>
          <w:b/>
          <w:bCs/>
        </w:rPr>
        <w:t>Discharge Offset Ratio</w:t>
      </w:r>
    </w:p>
    <w:p w14:paraId="742AB8A0" w14:textId="77777777" w:rsidR="00400D99" w:rsidRDefault="00000000">
      <w:pPr>
        <w:pStyle w:val="BodyText"/>
      </w:pPr>
      <w:r>
        <w:t>Discharges ÷ Transfers</w:t>
      </w:r>
    </w:p>
    <w:p w14:paraId="25F9D028" w14:textId="77777777" w:rsidR="00400D99" w:rsidRDefault="00000000">
      <w:pPr>
        <w:pStyle w:val="BodyText"/>
      </w:pPr>
      <w:r>
        <w:rPr>
          <w:b/>
          <w:bCs/>
        </w:rPr>
        <w:t>Capacity Stress Threshold</w:t>
      </w:r>
    </w:p>
    <w:p w14:paraId="7BB35616" w14:textId="77777777" w:rsidR="00400D99" w:rsidRDefault="00000000">
      <w:pPr>
        <w:pStyle w:val="BodyText"/>
      </w:pPr>
      <w:r>
        <w:t>90th percentile of Total System Load</w:t>
      </w:r>
    </w:p>
    <w:p w14:paraId="29FA75BE" w14:textId="77777777" w:rsidR="00400D99" w:rsidRDefault="00000000">
      <w:r>
        <w:pict w14:anchorId="4859E93D">
          <v:rect id="_x0000_i1030" style="width:0;height:1.5pt" o:hralign="center" o:hrstd="t" o:hr="t"/>
        </w:pict>
      </w:r>
    </w:p>
    <w:p w14:paraId="0883B54C" w14:textId="77777777" w:rsidR="00400D99" w:rsidRDefault="00000000">
      <w:pPr>
        <w:pStyle w:val="Heading1"/>
      </w:pPr>
      <w:bookmarkStart w:id="12" w:name="results-and-discussion"/>
      <w:bookmarkEnd w:id="9"/>
      <w:bookmarkEnd w:id="11"/>
      <w:r>
        <w:t>6. Results and Discussion</w:t>
      </w:r>
    </w:p>
    <w:p w14:paraId="3FCECBB9" w14:textId="77777777" w:rsidR="00400D99" w:rsidRDefault="00000000">
      <w:pPr>
        <w:pStyle w:val="Heading2"/>
      </w:pPr>
      <w:bookmarkStart w:id="13" w:name="overall-system-capacity"/>
      <w:r>
        <w:t>6.1 Overall System Capacity</w:t>
      </w:r>
    </w:p>
    <w:p w14:paraId="7B6A4B00" w14:textId="77777777" w:rsidR="00400D99" w:rsidRDefault="00000000">
      <w:pPr>
        <w:pStyle w:val="FirstParagraph"/>
      </w:pPr>
      <w:r>
        <w:t>The study analyzed 720 reported operational days covering 1,075 calendar days.</w:t>
      </w:r>
    </w:p>
    <w:p w14:paraId="37CC3430" w14:textId="77777777" w:rsidR="00400D99" w:rsidRDefault="00000000">
      <w:pPr>
        <w:pStyle w:val="BodyText"/>
      </w:pPr>
      <w:r>
        <w:t>Key findings include:</w:t>
      </w:r>
    </w:p>
    <w:tbl>
      <w:tblPr>
        <w:tblStyle w:val="Table"/>
        <w:tblW w:w="0" w:type="auto"/>
        <w:tblLook w:val="0020" w:firstRow="1" w:lastRow="0" w:firstColumn="0" w:lastColumn="0" w:noHBand="0" w:noVBand="0"/>
      </w:tblPr>
      <w:tblGrid>
        <w:gridCol w:w="2988"/>
        <w:gridCol w:w="1569"/>
      </w:tblGrid>
      <w:tr w:rsidR="00400D99" w14:paraId="219509D0" w14:textId="77777777" w:rsidTr="00400D99">
        <w:trPr>
          <w:cnfStyle w:val="100000000000" w:firstRow="1" w:lastRow="0" w:firstColumn="0" w:lastColumn="0" w:oddVBand="0" w:evenVBand="0" w:oddHBand="0" w:evenHBand="0" w:firstRowFirstColumn="0" w:firstRowLastColumn="0" w:lastRowFirstColumn="0" w:lastRowLastColumn="0"/>
          <w:tblHeader/>
        </w:trPr>
        <w:tc>
          <w:tcPr>
            <w:tcW w:w="0" w:type="auto"/>
          </w:tcPr>
          <w:p w14:paraId="2FFAF293" w14:textId="77777777" w:rsidR="00400D99" w:rsidRDefault="00000000">
            <w:pPr>
              <w:pStyle w:val="Compact"/>
            </w:pPr>
            <w:r>
              <w:t>KPI</w:t>
            </w:r>
          </w:p>
        </w:tc>
        <w:tc>
          <w:tcPr>
            <w:tcW w:w="0" w:type="auto"/>
          </w:tcPr>
          <w:p w14:paraId="4938C2C6" w14:textId="77777777" w:rsidR="00400D99" w:rsidRDefault="00000000">
            <w:pPr>
              <w:pStyle w:val="Compact"/>
            </w:pPr>
            <w:r>
              <w:t>Value</w:t>
            </w:r>
          </w:p>
        </w:tc>
      </w:tr>
      <w:tr w:rsidR="00400D99" w14:paraId="2B391DB2" w14:textId="77777777">
        <w:tc>
          <w:tcPr>
            <w:tcW w:w="0" w:type="auto"/>
          </w:tcPr>
          <w:p w14:paraId="6DA628E8" w14:textId="77777777" w:rsidR="00400D99" w:rsidRDefault="00000000">
            <w:pPr>
              <w:pStyle w:val="Compact"/>
            </w:pPr>
            <w:r>
              <w:t>Average Total System Load</w:t>
            </w:r>
          </w:p>
        </w:tc>
        <w:tc>
          <w:tcPr>
            <w:tcW w:w="0" w:type="auto"/>
          </w:tcPr>
          <w:p w14:paraId="1A7C3CE7" w14:textId="77777777" w:rsidR="00400D99" w:rsidRDefault="00000000">
            <w:pPr>
              <w:pStyle w:val="Compact"/>
            </w:pPr>
            <w:r>
              <w:t>6,232</w:t>
            </w:r>
          </w:p>
        </w:tc>
      </w:tr>
      <w:tr w:rsidR="00400D99" w14:paraId="50B1F762" w14:textId="77777777">
        <w:tc>
          <w:tcPr>
            <w:tcW w:w="0" w:type="auto"/>
          </w:tcPr>
          <w:p w14:paraId="4934FCD9" w14:textId="77777777" w:rsidR="00400D99" w:rsidRDefault="00000000">
            <w:pPr>
              <w:pStyle w:val="Compact"/>
            </w:pPr>
            <w:r>
              <w:t>Peak System Load</w:t>
            </w:r>
          </w:p>
        </w:tc>
        <w:tc>
          <w:tcPr>
            <w:tcW w:w="0" w:type="auto"/>
          </w:tcPr>
          <w:p w14:paraId="10D4D9BE" w14:textId="77777777" w:rsidR="00400D99" w:rsidRDefault="00000000">
            <w:pPr>
              <w:pStyle w:val="Compact"/>
            </w:pPr>
            <w:r>
              <w:t>11,762</w:t>
            </w:r>
          </w:p>
        </w:tc>
      </w:tr>
      <w:tr w:rsidR="00400D99" w14:paraId="7A14F7B9" w14:textId="77777777">
        <w:tc>
          <w:tcPr>
            <w:tcW w:w="0" w:type="auto"/>
          </w:tcPr>
          <w:p w14:paraId="566C4EA1" w14:textId="77777777" w:rsidR="00400D99" w:rsidRDefault="00000000">
            <w:pPr>
              <w:pStyle w:val="Compact"/>
            </w:pPr>
            <w:r>
              <w:t>Peak Load Date</w:t>
            </w:r>
          </w:p>
        </w:tc>
        <w:tc>
          <w:tcPr>
            <w:tcW w:w="0" w:type="auto"/>
          </w:tcPr>
          <w:p w14:paraId="14116323" w14:textId="77777777" w:rsidR="00400D99" w:rsidRDefault="00000000">
            <w:pPr>
              <w:pStyle w:val="Compact"/>
            </w:pPr>
            <w:r>
              <w:t>Dec 20, 2023</w:t>
            </w:r>
          </w:p>
        </w:tc>
      </w:tr>
      <w:tr w:rsidR="00400D99" w14:paraId="0DFBD8E6" w14:textId="77777777">
        <w:tc>
          <w:tcPr>
            <w:tcW w:w="0" w:type="auto"/>
          </w:tcPr>
          <w:p w14:paraId="11707563" w14:textId="77777777" w:rsidR="00400D99" w:rsidRDefault="00000000">
            <w:pPr>
              <w:pStyle w:val="Compact"/>
            </w:pPr>
            <w:r>
              <w:t>Average CBP Population</w:t>
            </w:r>
          </w:p>
        </w:tc>
        <w:tc>
          <w:tcPr>
            <w:tcW w:w="0" w:type="auto"/>
          </w:tcPr>
          <w:p w14:paraId="22541023" w14:textId="77777777" w:rsidR="00400D99" w:rsidRDefault="00000000">
            <w:pPr>
              <w:pStyle w:val="Compact"/>
            </w:pPr>
            <w:r>
              <w:t>169</w:t>
            </w:r>
          </w:p>
        </w:tc>
      </w:tr>
      <w:tr w:rsidR="00400D99" w14:paraId="0D843C00" w14:textId="77777777">
        <w:tc>
          <w:tcPr>
            <w:tcW w:w="0" w:type="auto"/>
          </w:tcPr>
          <w:p w14:paraId="11BC9C4A" w14:textId="77777777" w:rsidR="00400D99" w:rsidRDefault="00000000">
            <w:pPr>
              <w:pStyle w:val="Compact"/>
            </w:pPr>
            <w:r>
              <w:t>Average HHS Population</w:t>
            </w:r>
          </w:p>
        </w:tc>
        <w:tc>
          <w:tcPr>
            <w:tcW w:w="0" w:type="auto"/>
          </w:tcPr>
          <w:p w14:paraId="0BC48739" w14:textId="77777777" w:rsidR="00400D99" w:rsidRDefault="00000000">
            <w:pPr>
              <w:pStyle w:val="Compact"/>
            </w:pPr>
            <w:r>
              <w:t>6,063</w:t>
            </w:r>
          </w:p>
        </w:tc>
      </w:tr>
      <w:tr w:rsidR="00400D99" w14:paraId="34353DD5" w14:textId="77777777">
        <w:tc>
          <w:tcPr>
            <w:tcW w:w="0" w:type="auto"/>
          </w:tcPr>
          <w:p w14:paraId="24FE7882" w14:textId="77777777" w:rsidR="00400D99" w:rsidRDefault="00000000">
            <w:pPr>
              <w:pStyle w:val="Compact"/>
            </w:pPr>
            <w:r>
              <w:t>Capacity Stress Days</w:t>
            </w:r>
          </w:p>
        </w:tc>
        <w:tc>
          <w:tcPr>
            <w:tcW w:w="0" w:type="auto"/>
          </w:tcPr>
          <w:p w14:paraId="5161E905" w14:textId="77777777" w:rsidR="00400D99" w:rsidRDefault="00000000">
            <w:pPr>
              <w:pStyle w:val="Compact"/>
            </w:pPr>
            <w:r>
              <w:t>108</w:t>
            </w:r>
          </w:p>
        </w:tc>
      </w:tr>
      <w:tr w:rsidR="00400D99" w14:paraId="545B42CD" w14:textId="77777777">
        <w:tc>
          <w:tcPr>
            <w:tcW w:w="0" w:type="auto"/>
          </w:tcPr>
          <w:p w14:paraId="7991E61F" w14:textId="77777777" w:rsidR="00400D99" w:rsidRDefault="00000000">
            <w:pPr>
              <w:pStyle w:val="Compact"/>
            </w:pPr>
            <w:r>
              <w:t>Capacity Relief Days</w:t>
            </w:r>
          </w:p>
        </w:tc>
        <w:tc>
          <w:tcPr>
            <w:tcW w:w="0" w:type="auto"/>
          </w:tcPr>
          <w:p w14:paraId="6D3639FB" w14:textId="77777777" w:rsidR="00400D99" w:rsidRDefault="00000000">
            <w:pPr>
              <w:pStyle w:val="Compact"/>
            </w:pPr>
            <w:r>
              <w:t>702</w:t>
            </w:r>
          </w:p>
        </w:tc>
      </w:tr>
    </w:tbl>
    <w:p w14:paraId="4C1E8C9C" w14:textId="77777777" w:rsidR="00400D99" w:rsidRDefault="00000000">
      <w:pPr>
        <w:pStyle w:val="Heading3"/>
      </w:pPr>
      <w:bookmarkStart w:id="14" w:name="X40207e6663d51037acff26854d0aefcfdc63cc1"/>
      <w:r>
        <w:lastRenderedPageBreak/>
        <w:t>Figure 1. Total System Load Trend (2023–2025)</w:t>
      </w:r>
    </w:p>
    <w:p w14:paraId="20316F40" w14:textId="51B3ECA0" w:rsidR="00400D99" w:rsidRDefault="00161115">
      <w:pPr>
        <w:pStyle w:val="BodyText"/>
      </w:pPr>
      <w:r>
        <w:rPr>
          <w:noProof/>
        </w:rPr>
        <w:drawing>
          <wp:inline distT="0" distB="0" distL="0" distR="0" wp14:anchorId="2C9F7D73" wp14:editId="52B2D5AF">
            <wp:extent cx="5943600" cy="2935605"/>
            <wp:effectExtent l="0" t="0" r="0" b="0"/>
            <wp:docPr id="16031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00000000">
        <w:t>The system load trend demonstrates substantial variation throughout the observation period. The highest observed load occurred during late 2023, indicating a period of elevated operational responsibility. Following this peak, system load gradually declined, suggesting successful implementation of discharge and reunification processes.</w:t>
      </w:r>
    </w:p>
    <w:p w14:paraId="2385B9FA" w14:textId="77777777" w:rsidR="00400D99" w:rsidRDefault="00000000">
      <w:r>
        <w:pict w14:anchorId="3C559B95">
          <v:rect id="_x0000_i1031" style="width:0;height:1.5pt" o:hralign="center" o:hrstd="t" o:hr="t"/>
        </w:pict>
      </w:r>
    </w:p>
    <w:p w14:paraId="5C3C697C" w14:textId="77777777" w:rsidR="00400D99" w:rsidRDefault="00000000">
      <w:pPr>
        <w:pStyle w:val="Heading2"/>
      </w:pPr>
      <w:bookmarkStart w:id="15" w:name="intake-and-discharge-performance"/>
      <w:bookmarkEnd w:id="13"/>
      <w:bookmarkEnd w:id="14"/>
      <w:r>
        <w:t>6.2 Intake and Discharge Performance</w:t>
      </w:r>
    </w:p>
    <w:p w14:paraId="14A7A6B2" w14:textId="77777777" w:rsidR="00400D99" w:rsidRDefault="00000000">
      <w:pPr>
        <w:pStyle w:val="FirstParagraph"/>
      </w:pPr>
      <w:r>
        <w:t>Across the study period:</w:t>
      </w:r>
    </w:p>
    <w:tbl>
      <w:tblPr>
        <w:tblStyle w:val="Table"/>
        <w:tblW w:w="0" w:type="auto"/>
        <w:tblLook w:val="0020" w:firstRow="1" w:lastRow="0" w:firstColumn="0" w:lastColumn="0" w:noHBand="0" w:noVBand="0"/>
      </w:tblPr>
      <w:tblGrid>
        <w:gridCol w:w="2561"/>
        <w:gridCol w:w="1054"/>
      </w:tblGrid>
      <w:tr w:rsidR="00400D99" w14:paraId="6CE819ED" w14:textId="77777777" w:rsidTr="00400D99">
        <w:trPr>
          <w:cnfStyle w:val="100000000000" w:firstRow="1" w:lastRow="0" w:firstColumn="0" w:lastColumn="0" w:oddVBand="0" w:evenVBand="0" w:oddHBand="0" w:evenHBand="0" w:firstRowFirstColumn="0" w:firstRowLastColumn="0" w:lastRowFirstColumn="0" w:lastRowLastColumn="0"/>
          <w:tblHeader/>
        </w:trPr>
        <w:tc>
          <w:tcPr>
            <w:tcW w:w="0" w:type="auto"/>
          </w:tcPr>
          <w:p w14:paraId="7EB2BCAC" w14:textId="77777777" w:rsidR="00400D99" w:rsidRDefault="00000000">
            <w:pPr>
              <w:pStyle w:val="Compact"/>
            </w:pPr>
            <w:r>
              <w:t>Metric</w:t>
            </w:r>
          </w:p>
        </w:tc>
        <w:tc>
          <w:tcPr>
            <w:tcW w:w="0" w:type="auto"/>
          </w:tcPr>
          <w:p w14:paraId="29FD13AA" w14:textId="77777777" w:rsidR="00400D99" w:rsidRDefault="00000000">
            <w:pPr>
              <w:pStyle w:val="Compact"/>
            </w:pPr>
            <w:r>
              <w:t>Total</w:t>
            </w:r>
          </w:p>
        </w:tc>
      </w:tr>
      <w:tr w:rsidR="00400D99" w14:paraId="3EA60FED" w14:textId="77777777">
        <w:tc>
          <w:tcPr>
            <w:tcW w:w="0" w:type="auto"/>
          </w:tcPr>
          <w:p w14:paraId="1F3789A4" w14:textId="77777777" w:rsidR="00400D99" w:rsidRDefault="00000000">
            <w:pPr>
              <w:pStyle w:val="Compact"/>
            </w:pPr>
            <w:r>
              <w:t>Children Apprehended</w:t>
            </w:r>
          </w:p>
        </w:tc>
        <w:tc>
          <w:tcPr>
            <w:tcW w:w="0" w:type="auto"/>
          </w:tcPr>
          <w:p w14:paraId="30A82BD3" w14:textId="77777777" w:rsidR="00400D99" w:rsidRDefault="00000000">
            <w:pPr>
              <w:pStyle w:val="Compact"/>
            </w:pPr>
            <w:r>
              <w:t>67,337</w:t>
            </w:r>
          </w:p>
        </w:tc>
      </w:tr>
      <w:tr w:rsidR="00400D99" w14:paraId="49847C95" w14:textId="77777777">
        <w:tc>
          <w:tcPr>
            <w:tcW w:w="0" w:type="auto"/>
          </w:tcPr>
          <w:p w14:paraId="03BDBB83" w14:textId="77777777" w:rsidR="00400D99" w:rsidRDefault="00000000">
            <w:pPr>
              <w:pStyle w:val="Compact"/>
            </w:pPr>
            <w:r>
              <w:t>Children Transferred</w:t>
            </w:r>
          </w:p>
        </w:tc>
        <w:tc>
          <w:tcPr>
            <w:tcW w:w="0" w:type="auto"/>
          </w:tcPr>
          <w:p w14:paraId="20CF3DD9" w14:textId="77777777" w:rsidR="00400D99" w:rsidRDefault="00000000">
            <w:pPr>
              <w:pStyle w:val="Compact"/>
            </w:pPr>
            <w:r>
              <w:t>92,641</w:t>
            </w:r>
          </w:p>
        </w:tc>
      </w:tr>
      <w:tr w:rsidR="00400D99" w14:paraId="4A67E406" w14:textId="77777777">
        <w:tc>
          <w:tcPr>
            <w:tcW w:w="0" w:type="auto"/>
          </w:tcPr>
          <w:p w14:paraId="7AAC364B" w14:textId="77777777" w:rsidR="00400D99" w:rsidRDefault="00000000">
            <w:pPr>
              <w:pStyle w:val="Compact"/>
            </w:pPr>
            <w:r>
              <w:t>Children Discharged</w:t>
            </w:r>
          </w:p>
        </w:tc>
        <w:tc>
          <w:tcPr>
            <w:tcW w:w="0" w:type="auto"/>
          </w:tcPr>
          <w:p w14:paraId="3BABD71A" w14:textId="77777777" w:rsidR="00400D99" w:rsidRDefault="00000000">
            <w:pPr>
              <w:pStyle w:val="Compact"/>
            </w:pPr>
            <w:r>
              <w:t>124,853</w:t>
            </w:r>
          </w:p>
        </w:tc>
      </w:tr>
    </w:tbl>
    <w:p w14:paraId="0EA3A362" w14:textId="77777777" w:rsidR="00400D99" w:rsidRDefault="00000000">
      <w:pPr>
        <w:pStyle w:val="BodyText"/>
      </w:pPr>
      <w:r>
        <w:t>The average Discharge Offset Ratio exceeded 2.0, indicating that discharge activity generally outpaced incoming transfers.</w:t>
      </w:r>
    </w:p>
    <w:p w14:paraId="36BF9AFA" w14:textId="77777777" w:rsidR="00400D99" w:rsidRDefault="00000000">
      <w:pPr>
        <w:pStyle w:val="Heading3"/>
      </w:pPr>
      <w:bookmarkStart w:id="16" w:name="figure-2.-net-intake-pressure"/>
      <w:r>
        <w:lastRenderedPageBreak/>
        <w:t>Figure 2. Net Intake Pressure</w:t>
      </w:r>
    </w:p>
    <w:p w14:paraId="4B3E4144" w14:textId="0439D50F" w:rsidR="00400D99" w:rsidRDefault="00161115">
      <w:pPr>
        <w:pStyle w:val="BodyText"/>
      </w:pPr>
      <w:r>
        <w:rPr>
          <w:noProof/>
        </w:rPr>
        <w:drawing>
          <wp:inline distT="0" distB="0" distL="0" distR="0" wp14:anchorId="054FE5CA" wp14:editId="31FD04ED">
            <wp:extent cx="5943600" cy="2935605"/>
            <wp:effectExtent l="0" t="0" r="0" b="0"/>
            <wp:docPr id="136510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00000000">
        <w:t>Net Intake Pressure illustrates the balance between incoming transfers and outgoing discharges. Positive values indicate growing pressure, while negative values indicate relief. The overall negative cumulative pressure demonstrates the system’s ability to reduce care populations over time.</w:t>
      </w:r>
    </w:p>
    <w:p w14:paraId="2E5AA080" w14:textId="77777777" w:rsidR="00400D99" w:rsidRDefault="00000000">
      <w:r>
        <w:pict w14:anchorId="3B3E757A">
          <v:rect id="_x0000_i1032" style="width:0;height:1.5pt" o:hralign="center" o:hrstd="t" o:hr="t"/>
        </w:pict>
      </w:r>
    </w:p>
    <w:p w14:paraId="65CC1D53" w14:textId="77777777" w:rsidR="00400D99" w:rsidRDefault="00000000">
      <w:pPr>
        <w:pStyle w:val="Heading2"/>
      </w:pPr>
      <w:bookmarkStart w:id="17" w:name="backlog-analysis"/>
      <w:bookmarkEnd w:id="15"/>
      <w:bookmarkEnd w:id="16"/>
      <w:r>
        <w:t>6.3 Backlog Analysis</w:t>
      </w:r>
    </w:p>
    <w:p w14:paraId="628DD649" w14:textId="77777777" w:rsidR="00400D99" w:rsidRDefault="00000000">
      <w:pPr>
        <w:pStyle w:val="FirstParagraph"/>
      </w:pPr>
      <w:r>
        <w:t>Backlog accumulation serves as an important indicator of operational strain.</w:t>
      </w:r>
    </w:p>
    <w:p w14:paraId="7662A640" w14:textId="77777777" w:rsidR="00400D99" w:rsidRDefault="00000000">
      <w:pPr>
        <w:pStyle w:val="Heading3"/>
      </w:pPr>
      <w:bookmarkStart w:id="18" w:name="figure-3.-backlog-indicator"/>
      <w:r>
        <w:lastRenderedPageBreak/>
        <w:t>Figure 3. Backlog Indicator</w:t>
      </w:r>
    </w:p>
    <w:p w14:paraId="7040938E" w14:textId="57AD7B58" w:rsidR="00400D99" w:rsidRDefault="00161115">
      <w:pPr>
        <w:pStyle w:val="BodyText"/>
      </w:pPr>
      <w:r>
        <w:rPr>
          <w:noProof/>
        </w:rPr>
        <w:drawing>
          <wp:inline distT="0" distB="0" distL="0" distR="0" wp14:anchorId="7A51B06C" wp14:editId="7D43ED8C">
            <wp:extent cx="5943600" cy="2935605"/>
            <wp:effectExtent l="0" t="0" r="0" b="0"/>
            <wp:docPr id="1611332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00000000">
        <w:t>Backlog growth remained temporary throughout the study period. While short-term increases occurred during surge periods, discharge activity consistently reduced accumulated pressure, preventing sustained overcrowding.</w:t>
      </w:r>
    </w:p>
    <w:p w14:paraId="7869A62B" w14:textId="77777777" w:rsidR="00400D99" w:rsidRDefault="00000000">
      <w:r>
        <w:pict w14:anchorId="662D94B2">
          <v:rect id="_x0000_i1033" style="width:0;height:1.5pt" o:hralign="center" o:hrstd="t" o:hr="t"/>
        </w:pict>
      </w:r>
    </w:p>
    <w:p w14:paraId="0818BBEE" w14:textId="77777777" w:rsidR="00400D99" w:rsidRDefault="00000000">
      <w:pPr>
        <w:pStyle w:val="Heading2"/>
      </w:pPr>
      <w:bookmarkStart w:id="19" w:name="capacity-stress-assessment"/>
      <w:bookmarkEnd w:id="17"/>
      <w:bookmarkEnd w:id="18"/>
      <w:r>
        <w:t>6.4 Capacity Stress Assessment</w:t>
      </w:r>
    </w:p>
    <w:p w14:paraId="37EE5A20" w14:textId="77777777" w:rsidR="00400D99" w:rsidRDefault="00000000">
      <w:pPr>
        <w:pStyle w:val="FirstParagraph"/>
      </w:pPr>
      <w:r>
        <w:t>The 90th percentile stress threshold was used to identify periods of elevated system burden.</w:t>
      </w:r>
    </w:p>
    <w:p w14:paraId="4E044E19" w14:textId="77777777" w:rsidR="00400D99" w:rsidRDefault="00000000">
      <w:pPr>
        <w:pStyle w:val="Heading3"/>
      </w:pPr>
      <w:bookmarkStart w:id="20" w:name="Xbfc25589471ce525f70ee2040db6d2bd8c504ca"/>
      <w:r>
        <w:lastRenderedPageBreak/>
        <w:t>Figure 4. Rolling Capacity Stress Analysis</w:t>
      </w:r>
    </w:p>
    <w:p w14:paraId="08375FFA" w14:textId="58B687F7" w:rsidR="00400D99" w:rsidRDefault="00161115">
      <w:pPr>
        <w:pStyle w:val="BodyText"/>
      </w:pPr>
      <w:r>
        <w:rPr>
          <w:noProof/>
        </w:rPr>
        <w:drawing>
          <wp:inline distT="0" distB="0" distL="0" distR="0" wp14:anchorId="6ACC8C12" wp14:editId="1973745E">
            <wp:extent cx="5943600" cy="2935605"/>
            <wp:effectExtent l="0" t="0" r="0" b="0"/>
            <wp:docPr id="1106424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r w:rsidR="00000000">
        <w:t>Rolling-average analysis reveals several periods where care demand approached or exceeded stress thresholds. These intervals likely required increased staffing levels, expanded shelter utilization, and enhanced healthcare resource allocation.</w:t>
      </w:r>
    </w:p>
    <w:p w14:paraId="4F69BF94" w14:textId="77777777" w:rsidR="00400D99" w:rsidRDefault="00000000">
      <w:r>
        <w:pict w14:anchorId="7DAE6686">
          <v:rect id="_x0000_i1034" style="width:0;height:1.5pt" o:hralign="center" o:hrstd="t" o:hr="t"/>
        </w:pict>
      </w:r>
    </w:p>
    <w:p w14:paraId="26E76EBA" w14:textId="77777777" w:rsidR="00400D99" w:rsidRDefault="00000000">
      <w:pPr>
        <w:pStyle w:val="Heading2"/>
      </w:pPr>
      <w:bookmarkStart w:id="21" w:name="monthly-operational-flow-balance"/>
      <w:bookmarkEnd w:id="19"/>
      <w:bookmarkEnd w:id="20"/>
      <w:r>
        <w:t>6.5 Monthly Operational Flow Balance</w:t>
      </w:r>
    </w:p>
    <w:p w14:paraId="178FA6DF" w14:textId="77777777" w:rsidR="00400D99" w:rsidRDefault="00000000">
      <w:pPr>
        <w:pStyle w:val="FirstParagraph"/>
      </w:pPr>
      <w:r>
        <w:t>Monthly aggregation provides insight into long-term operational stability.</w:t>
      </w:r>
    </w:p>
    <w:p w14:paraId="7D016F8E" w14:textId="77777777" w:rsidR="00400D99" w:rsidRDefault="00000000">
      <w:pPr>
        <w:pStyle w:val="Heading3"/>
      </w:pPr>
      <w:bookmarkStart w:id="22" w:name="figure-5.-monthly-flow-balance"/>
      <w:r>
        <w:lastRenderedPageBreak/>
        <w:t>Figure 5. Monthly Flow Balance</w:t>
      </w:r>
    </w:p>
    <w:p w14:paraId="1494F99D" w14:textId="32EC24B9" w:rsidR="00400D99" w:rsidRDefault="00161115">
      <w:pPr>
        <w:pStyle w:val="BodyText"/>
      </w:pPr>
      <w:r>
        <w:rPr>
          <w:noProof/>
        </w:rPr>
        <w:drawing>
          <wp:inline distT="0" distB="0" distL="0" distR="0" wp14:anchorId="785A0B92" wp14:editId="230F3510">
            <wp:extent cx="5943600" cy="2943225"/>
            <wp:effectExtent l="0" t="0" r="0" b="0"/>
            <wp:docPr id="664798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r w:rsidR="00000000">
        <w:t>Monthly flow analysis demonstrates recurring cycles of increased intake followed by stabilization. These patterns suggest that the care system possesses adaptive capacity capable of responding effectively to fluctuating demand conditions.</w:t>
      </w:r>
    </w:p>
    <w:p w14:paraId="3238BA3A" w14:textId="77777777" w:rsidR="00400D99" w:rsidRDefault="00000000">
      <w:r>
        <w:pict w14:anchorId="26A0182B">
          <v:rect id="_x0000_i1035" style="width:0;height:1.5pt" o:hralign="center" o:hrstd="t" o:hr="t"/>
        </w:pict>
      </w:r>
    </w:p>
    <w:p w14:paraId="454D13C5" w14:textId="77777777" w:rsidR="00400D99" w:rsidRDefault="00000000">
      <w:pPr>
        <w:pStyle w:val="Heading2"/>
      </w:pPr>
      <w:bookmarkStart w:id="23" w:name="volatility-assessment"/>
      <w:bookmarkEnd w:id="21"/>
      <w:bookmarkEnd w:id="22"/>
      <w:r>
        <w:t>6.6 Volatility Assessment</w:t>
      </w:r>
    </w:p>
    <w:p w14:paraId="38FC3818" w14:textId="77777777" w:rsidR="00400D99" w:rsidRDefault="00000000">
      <w:pPr>
        <w:pStyle w:val="FirstParagraph"/>
      </w:pPr>
      <w:r>
        <w:t>Volatility measures system stability over time.</w:t>
      </w:r>
    </w:p>
    <w:p w14:paraId="3F00CE28" w14:textId="77777777" w:rsidR="00400D99" w:rsidRDefault="00000000">
      <w:pPr>
        <w:pStyle w:val="Heading3"/>
      </w:pPr>
      <w:bookmarkStart w:id="24" w:name="figure-6.-care-load-volatility-index"/>
      <w:r>
        <w:t>Figure 6. Care Load Volatility Index</w:t>
      </w:r>
    </w:p>
    <w:p w14:paraId="1CF19B6A" w14:textId="261B8953" w:rsidR="00400D99" w:rsidRDefault="00161115">
      <w:pPr>
        <w:pStyle w:val="FirstParagraph"/>
      </w:pPr>
      <w:r>
        <w:rPr>
          <w:noProof/>
        </w:rPr>
        <w:drawing>
          <wp:inline distT="0" distB="0" distL="0" distR="0" wp14:anchorId="6FAE9561" wp14:editId="4D17BF35">
            <wp:extent cx="5943600" cy="2935605"/>
            <wp:effectExtent l="0" t="0" r="0" b="0"/>
            <wp:docPr id="806202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7BE404E6" w14:textId="77777777" w:rsidR="00400D99" w:rsidRDefault="00000000">
      <w:pPr>
        <w:pStyle w:val="BodyText"/>
      </w:pPr>
      <w:r>
        <w:lastRenderedPageBreak/>
        <w:t>Although periods of rapid change occurred, volatility remained within manageable levels throughout most of the study period. This finding suggests that federal agencies successfully adjusted operational resources in response to changing demand.</w:t>
      </w:r>
    </w:p>
    <w:p w14:paraId="759CF21F" w14:textId="77777777" w:rsidR="00400D99" w:rsidRDefault="00000000">
      <w:r>
        <w:pict w14:anchorId="66CBFC44">
          <v:rect id="_x0000_i1036" style="width:0;height:1.5pt" o:hralign="center" o:hrstd="t" o:hr="t"/>
        </w:pict>
      </w:r>
    </w:p>
    <w:p w14:paraId="21019828" w14:textId="77777777" w:rsidR="00400D99" w:rsidRDefault="00000000">
      <w:pPr>
        <w:pStyle w:val="Heading1"/>
      </w:pPr>
      <w:bookmarkStart w:id="25" w:name="policy-implications"/>
      <w:bookmarkEnd w:id="12"/>
      <w:bookmarkEnd w:id="23"/>
      <w:bookmarkEnd w:id="24"/>
      <w:r>
        <w:t>7. Policy Implications</w:t>
      </w:r>
    </w:p>
    <w:p w14:paraId="55370AF9" w14:textId="77777777" w:rsidR="00400D99" w:rsidRDefault="00000000">
      <w:pPr>
        <w:pStyle w:val="FirstParagraph"/>
      </w:pPr>
      <w:r>
        <w:t>Several important policy implications emerge from the analysis:</w:t>
      </w:r>
    </w:p>
    <w:p w14:paraId="3BACE77F" w14:textId="77777777" w:rsidR="00400D99" w:rsidRDefault="00000000">
      <w:pPr>
        <w:numPr>
          <w:ilvl w:val="0"/>
          <w:numId w:val="5"/>
        </w:numPr>
      </w:pPr>
      <w:r>
        <w:t>HHS facilities represent the primary contributor to total care burden and should remain the central focus of capacity planning efforts.</w:t>
      </w:r>
    </w:p>
    <w:p w14:paraId="7339C255" w14:textId="77777777" w:rsidR="00400D99" w:rsidRDefault="00000000">
      <w:pPr>
        <w:numPr>
          <w:ilvl w:val="0"/>
          <w:numId w:val="5"/>
        </w:numPr>
      </w:pPr>
      <w:r>
        <w:t>Sponsor reunification efficiency plays a critical role in reducing operational pressure.</w:t>
      </w:r>
    </w:p>
    <w:p w14:paraId="09E136DC" w14:textId="77777777" w:rsidR="00400D99" w:rsidRDefault="00000000">
      <w:pPr>
        <w:numPr>
          <w:ilvl w:val="0"/>
          <w:numId w:val="5"/>
        </w:numPr>
      </w:pPr>
      <w:r>
        <w:t>Integrated monitoring systems provide substantially greater insight than isolated custody counts.</w:t>
      </w:r>
    </w:p>
    <w:p w14:paraId="200252B1" w14:textId="77777777" w:rsidR="00400D99" w:rsidRDefault="00000000">
      <w:pPr>
        <w:numPr>
          <w:ilvl w:val="0"/>
          <w:numId w:val="5"/>
        </w:numPr>
      </w:pPr>
      <w:r>
        <w:t>Predictive analytics can improve preparedness and reduce the risk of overcrowding.</w:t>
      </w:r>
    </w:p>
    <w:p w14:paraId="142B0FB1" w14:textId="77777777" w:rsidR="00400D99" w:rsidRDefault="00000000">
      <w:r>
        <w:pict w14:anchorId="3A99A3F4">
          <v:rect id="_x0000_i1037" style="width:0;height:1.5pt" o:hralign="center" o:hrstd="t" o:hr="t"/>
        </w:pict>
      </w:r>
    </w:p>
    <w:p w14:paraId="5305C667" w14:textId="77777777" w:rsidR="00400D99" w:rsidRDefault="00000000">
      <w:pPr>
        <w:pStyle w:val="Heading1"/>
      </w:pPr>
      <w:bookmarkStart w:id="26" w:name="recommendations"/>
      <w:bookmarkEnd w:id="25"/>
      <w:r>
        <w:t>8. Recommendations</w:t>
      </w:r>
    </w:p>
    <w:p w14:paraId="1F9933BD" w14:textId="77777777" w:rsidR="00400D99" w:rsidRDefault="00000000">
      <w:pPr>
        <w:pStyle w:val="Compact"/>
        <w:numPr>
          <w:ilvl w:val="0"/>
          <w:numId w:val="6"/>
        </w:numPr>
      </w:pPr>
      <w:r>
        <w:t>Deploy real-time capacity monitoring dashboards.</w:t>
      </w:r>
    </w:p>
    <w:p w14:paraId="536296BA" w14:textId="77777777" w:rsidR="00400D99" w:rsidRDefault="00000000">
      <w:pPr>
        <w:pStyle w:val="Compact"/>
        <w:numPr>
          <w:ilvl w:val="0"/>
          <w:numId w:val="6"/>
        </w:numPr>
      </w:pPr>
      <w:r>
        <w:t>Establish automated stress-threshold alert systems.</w:t>
      </w:r>
    </w:p>
    <w:p w14:paraId="083D38D6" w14:textId="77777777" w:rsidR="00400D99" w:rsidRDefault="00000000">
      <w:pPr>
        <w:pStyle w:val="Compact"/>
        <w:numPr>
          <w:ilvl w:val="0"/>
          <w:numId w:val="6"/>
        </w:numPr>
      </w:pPr>
      <w:r>
        <w:t>Expand surge staffing capabilities.</w:t>
      </w:r>
    </w:p>
    <w:p w14:paraId="2FBA265C" w14:textId="77777777" w:rsidR="00400D99" w:rsidRDefault="00000000">
      <w:pPr>
        <w:pStyle w:val="Compact"/>
        <w:numPr>
          <w:ilvl w:val="0"/>
          <w:numId w:val="6"/>
        </w:numPr>
      </w:pPr>
      <w:r>
        <w:t>Improve sponsor placement processing efficiency.</w:t>
      </w:r>
    </w:p>
    <w:p w14:paraId="135E6F3E" w14:textId="77777777" w:rsidR="00400D99" w:rsidRDefault="00000000">
      <w:pPr>
        <w:pStyle w:val="Compact"/>
        <w:numPr>
          <w:ilvl w:val="0"/>
          <w:numId w:val="6"/>
        </w:numPr>
      </w:pPr>
      <w:r>
        <w:t>Integrate forecasting models into planning activities.</w:t>
      </w:r>
    </w:p>
    <w:p w14:paraId="28DE4C81" w14:textId="77777777" w:rsidR="00400D99" w:rsidRDefault="00000000">
      <w:pPr>
        <w:pStyle w:val="Compact"/>
        <w:numPr>
          <w:ilvl w:val="0"/>
          <w:numId w:val="6"/>
        </w:numPr>
      </w:pPr>
      <w:r>
        <w:t>Standardize reporting metrics across agencies.</w:t>
      </w:r>
    </w:p>
    <w:p w14:paraId="7329C66E" w14:textId="77777777" w:rsidR="00400D99" w:rsidRDefault="00000000">
      <w:r>
        <w:pict w14:anchorId="3333AD05">
          <v:rect id="_x0000_i1038" style="width:0;height:1.5pt" o:hralign="center" o:hrstd="t" o:hr="t"/>
        </w:pict>
      </w:r>
    </w:p>
    <w:p w14:paraId="24AE5470" w14:textId="77777777" w:rsidR="00400D99" w:rsidRDefault="00000000">
      <w:pPr>
        <w:pStyle w:val="Heading1"/>
      </w:pPr>
      <w:bookmarkStart w:id="27" w:name="limitations"/>
      <w:bookmarkEnd w:id="26"/>
      <w:r>
        <w:t>9. Limitations</w:t>
      </w:r>
    </w:p>
    <w:p w14:paraId="4EEA0482" w14:textId="77777777" w:rsidR="00400D99" w:rsidRDefault="00000000">
      <w:pPr>
        <w:pStyle w:val="FirstParagraph"/>
      </w:pPr>
      <w:r>
        <w:t>This analysis is based on aggregated operational data and does not include facility-level occupancy rates, demographic characteristics, healthcare utilization metrics, or geographic variation. Future studies incorporating these factors may provide more detailed operational insights.</w:t>
      </w:r>
    </w:p>
    <w:p w14:paraId="02BBD56F" w14:textId="77777777" w:rsidR="00400D99" w:rsidRDefault="00000000">
      <w:r>
        <w:pict w14:anchorId="60816970">
          <v:rect id="_x0000_i1039" style="width:0;height:1.5pt" o:hralign="center" o:hrstd="t" o:hr="t"/>
        </w:pict>
      </w:r>
    </w:p>
    <w:p w14:paraId="7AF7AD81" w14:textId="77777777" w:rsidR="00400D99" w:rsidRDefault="00000000">
      <w:pPr>
        <w:pStyle w:val="Heading1"/>
      </w:pPr>
      <w:bookmarkStart w:id="28" w:name="future-research"/>
      <w:bookmarkEnd w:id="27"/>
      <w:r>
        <w:lastRenderedPageBreak/>
        <w:t>10. Future Research</w:t>
      </w:r>
    </w:p>
    <w:p w14:paraId="0AC83830" w14:textId="77777777" w:rsidR="00400D99" w:rsidRDefault="00000000">
      <w:pPr>
        <w:pStyle w:val="FirstParagraph"/>
      </w:pPr>
      <w:r>
        <w:t>Future work should investigate:</w:t>
      </w:r>
    </w:p>
    <w:p w14:paraId="3E203978" w14:textId="77777777" w:rsidR="00400D99" w:rsidRDefault="00000000">
      <w:pPr>
        <w:pStyle w:val="Compact"/>
        <w:numPr>
          <w:ilvl w:val="0"/>
          <w:numId w:val="7"/>
        </w:numPr>
      </w:pPr>
      <w:r>
        <w:t>Machine learning forecasting models</w:t>
      </w:r>
    </w:p>
    <w:p w14:paraId="754974A0" w14:textId="77777777" w:rsidR="00400D99" w:rsidRDefault="00000000">
      <w:pPr>
        <w:pStyle w:val="Compact"/>
        <w:numPr>
          <w:ilvl w:val="0"/>
          <w:numId w:val="7"/>
        </w:numPr>
      </w:pPr>
      <w:r>
        <w:t>Geographic demand forecasting</w:t>
      </w:r>
    </w:p>
    <w:p w14:paraId="1E0C1BA2" w14:textId="77777777" w:rsidR="00400D99" w:rsidRDefault="00000000">
      <w:pPr>
        <w:pStyle w:val="Compact"/>
        <w:numPr>
          <w:ilvl w:val="0"/>
          <w:numId w:val="7"/>
        </w:numPr>
      </w:pPr>
      <w:r>
        <w:t>Facility-level occupancy analysis</w:t>
      </w:r>
    </w:p>
    <w:p w14:paraId="518CD2EB" w14:textId="77777777" w:rsidR="00400D99" w:rsidRDefault="00000000">
      <w:pPr>
        <w:pStyle w:val="Compact"/>
        <w:numPr>
          <w:ilvl w:val="0"/>
          <w:numId w:val="7"/>
        </w:numPr>
      </w:pPr>
      <w:r>
        <w:t>Resource optimization simulations</w:t>
      </w:r>
    </w:p>
    <w:p w14:paraId="22845CA3" w14:textId="77777777" w:rsidR="00400D99" w:rsidRDefault="00000000">
      <w:pPr>
        <w:pStyle w:val="Compact"/>
        <w:numPr>
          <w:ilvl w:val="0"/>
          <w:numId w:val="7"/>
        </w:numPr>
      </w:pPr>
      <w:r>
        <w:t>Healthcare utilization prediction</w:t>
      </w:r>
    </w:p>
    <w:p w14:paraId="4AE295D5" w14:textId="77777777" w:rsidR="00400D99" w:rsidRDefault="00000000">
      <w:r>
        <w:pict w14:anchorId="5FB6D89C">
          <v:rect id="_x0000_i1040" style="width:0;height:1.5pt" o:hralign="center" o:hrstd="t" o:hr="t"/>
        </w:pict>
      </w:r>
    </w:p>
    <w:p w14:paraId="719AE431" w14:textId="77777777" w:rsidR="00400D99" w:rsidRDefault="00000000">
      <w:pPr>
        <w:pStyle w:val="Heading1"/>
      </w:pPr>
      <w:bookmarkStart w:id="29" w:name="conclusion"/>
      <w:bookmarkEnd w:id="28"/>
      <w:r>
        <w:t>11. Conclusion</w:t>
      </w:r>
    </w:p>
    <w:p w14:paraId="5E312782" w14:textId="77777777" w:rsidR="00400D99" w:rsidRDefault="00000000">
      <w:pPr>
        <w:pStyle w:val="FirstParagraph"/>
      </w:pPr>
      <w:r>
        <w:t>This research demonstrates the value of healthcare analytics in monitoring complex humanitarian care systems. By transforming operational records into actionable performance indicators, the proposed framework improves understanding of capacity utilization, system sustainability, and resource requirements.</w:t>
      </w:r>
    </w:p>
    <w:p w14:paraId="1EC57BDF" w14:textId="77777777" w:rsidR="00400D99" w:rsidRDefault="00000000">
      <w:pPr>
        <w:pStyle w:val="BodyText"/>
      </w:pPr>
      <w:r>
        <w:t>The results indicate that the UAC care system generally maintained operational stability despite significant fluctuations in demand. Strong discharge performance and effective backlog management contributed substantially to long-term sustainability. The framework developed in this study provides a scalable foundation for future healthcare capacity monitoring and policy decision support.</w:t>
      </w:r>
    </w:p>
    <w:p w14:paraId="192DE518" w14:textId="77777777" w:rsidR="00400D99" w:rsidRDefault="00000000">
      <w:r>
        <w:pict w14:anchorId="04A0BA3C">
          <v:rect id="_x0000_i1041" style="width:0;height:1.5pt" o:hralign="center" o:hrstd="t" o:hr="t"/>
        </w:pict>
      </w:r>
    </w:p>
    <w:p w14:paraId="10BA7D59" w14:textId="77777777" w:rsidR="00400D99" w:rsidRDefault="00000000">
      <w:pPr>
        <w:pStyle w:val="Heading1"/>
      </w:pPr>
      <w:bookmarkStart w:id="30" w:name="acknowledgements"/>
      <w:bookmarkEnd w:id="29"/>
      <w:r>
        <w:t>Acknowledgements</w:t>
      </w:r>
    </w:p>
    <w:p w14:paraId="5D677893" w14:textId="77777777" w:rsidR="00400D99" w:rsidRDefault="00000000">
      <w:pPr>
        <w:pStyle w:val="FirstParagraph"/>
      </w:pPr>
      <w:r>
        <w:t>The author acknowledges Unified Mentor and the U.S. Department of Health and Human Services project framework for providing the analytical problem statement that inspired this research.</w:t>
      </w:r>
    </w:p>
    <w:p w14:paraId="658996E9" w14:textId="77777777" w:rsidR="00400D99" w:rsidRDefault="00000000">
      <w:r>
        <w:pict w14:anchorId="25152FF1">
          <v:rect id="_x0000_i1042" style="width:0;height:1.5pt" o:hralign="center" o:hrstd="t" o:hr="t"/>
        </w:pict>
      </w:r>
    </w:p>
    <w:p w14:paraId="6A6F5DFB" w14:textId="77777777" w:rsidR="00400D99" w:rsidRDefault="00000000">
      <w:pPr>
        <w:pStyle w:val="Heading1"/>
      </w:pPr>
      <w:bookmarkStart w:id="31" w:name="references"/>
      <w:bookmarkEnd w:id="30"/>
      <w:r>
        <w:t>References</w:t>
      </w:r>
    </w:p>
    <w:p w14:paraId="4D755141" w14:textId="77777777" w:rsidR="00400D99" w:rsidRDefault="00000000">
      <w:pPr>
        <w:pStyle w:val="FirstParagraph"/>
      </w:pPr>
      <w:r>
        <w:t>Department of Health and Human Services. (2024). Unaccompanied children program. Administration for Children and Families.</w:t>
      </w:r>
    </w:p>
    <w:p w14:paraId="28BB1A1C" w14:textId="77777777" w:rsidR="00400D99" w:rsidRDefault="00000000">
      <w:pPr>
        <w:pStyle w:val="BodyText"/>
      </w:pPr>
      <w:r>
        <w:t>United States Customs and Border Protection. (2024). Southwest land border encounters.</w:t>
      </w:r>
    </w:p>
    <w:p w14:paraId="2CE56270" w14:textId="77777777" w:rsidR="00400D99" w:rsidRDefault="00000000">
      <w:pPr>
        <w:pStyle w:val="BodyText"/>
      </w:pPr>
      <w:r>
        <w:t>Administration for Children and Families. (2024). Office of Refugee Resettlement annual reports.</w:t>
      </w:r>
    </w:p>
    <w:p w14:paraId="76FE3A5A" w14:textId="77777777" w:rsidR="00400D99" w:rsidRDefault="00000000">
      <w:pPr>
        <w:pStyle w:val="BodyText"/>
      </w:pPr>
      <w:r>
        <w:lastRenderedPageBreak/>
        <w:t>World Health Organization. (2023). Health systems resilience toolkit.</w:t>
      </w:r>
    </w:p>
    <w:p w14:paraId="12117C78" w14:textId="77777777" w:rsidR="00400D99" w:rsidRDefault="00000000">
      <w:pPr>
        <w:pStyle w:val="BodyText"/>
      </w:pPr>
      <w:r>
        <w:t>United Nations Children’s Fund. (2023). Child protection in humanitarian action.</w:t>
      </w:r>
    </w:p>
    <w:p w14:paraId="43E0BF1E" w14:textId="77777777" w:rsidR="00400D99" w:rsidRDefault="00000000">
      <w:pPr>
        <w:pStyle w:val="BodyText"/>
      </w:pPr>
      <w:r>
        <w:t>Green, L. V. (2012). Queueing analysis in healthcare. Handbook of Healthcare System Scheduling.</w:t>
      </w:r>
    </w:p>
    <w:p w14:paraId="2010AC3B" w14:textId="77777777" w:rsidR="00400D99" w:rsidRDefault="00000000">
      <w:pPr>
        <w:pStyle w:val="BodyText"/>
      </w:pPr>
      <w:r>
        <w:t>Wiler, J. L., et al. (2013). Optimizing emergency department front-end operations. Annals of Emergency Medicine.</w:t>
      </w:r>
    </w:p>
    <w:p w14:paraId="3AAC0E1A" w14:textId="77777777" w:rsidR="00400D99" w:rsidRDefault="00000000">
      <w:r>
        <w:pict w14:anchorId="38DD0778">
          <v:rect id="_x0000_i1043" style="width:0;height:1.5pt" o:hralign="center" o:hrstd="t" o:hr="t"/>
        </w:pict>
      </w:r>
    </w:p>
    <w:p w14:paraId="75A5DDE6" w14:textId="77777777" w:rsidR="00400D99" w:rsidRDefault="00000000">
      <w:pPr>
        <w:pStyle w:val="Heading1"/>
      </w:pPr>
      <w:bookmarkStart w:id="32" w:name="appendix-a-kpi-formulas"/>
      <w:bookmarkEnd w:id="31"/>
      <w:r>
        <w:t>Appendix A: KPI Formulas</w:t>
      </w:r>
    </w:p>
    <w:p w14:paraId="773EB451" w14:textId="77777777" w:rsidR="00400D99" w:rsidRDefault="00000000">
      <w:pPr>
        <w:pStyle w:val="FirstParagraph"/>
      </w:pPr>
      <w:r>
        <w:t>Total System Load = CBP Custody + HHS Care</w:t>
      </w:r>
    </w:p>
    <w:p w14:paraId="3B9879B1" w14:textId="77777777" w:rsidR="00400D99" w:rsidRDefault="00000000">
      <w:pPr>
        <w:pStyle w:val="BodyText"/>
      </w:pPr>
      <w:r>
        <w:t>Net Daily Intake = Transfers − Discharges</w:t>
      </w:r>
    </w:p>
    <w:p w14:paraId="6381554A" w14:textId="77777777" w:rsidR="00400D99" w:rsidRDefault="00000000">
      <w:pPr>
        <w:pStyle w:val="BodyText"/>
      </w:pPr>
      <w:r>
        <w:t>Discharge Offset Ratio = Discharges ÷ Transfers</w:t>
      </w:r>
    </w:p>
    <w:p w14:paraId="73B1D77D" w14:textId="77777777" w:rsidR="00400D99" w:rsidRDefault="00000000">
      <w:pPr>
        <w:pStyle w:val="BodyText"/>
      </w:pPr>
      <w:r>
        <w:t>Backlog Indicator = Cumulative Net Intake</w:t>
      </w:r>
    </w:p>
    <w:p w14:paraId="08A4CDED" w14:textId="77777777" w:rsidR="00400D99" w:rsidRDefault="00000000">
      <w:pPr>
        <w:pStyle w:val="BodyText"/>
      </w:pPr>
      <w:r>
        <w:t>Capacity Stress Threshold = 90th Percentile of Total System Load</w:t>
      </w:r>
    </w:p>
    <w:p w14:paraId="357CA5C9" w14:textId="77777777" w:rsidR="00400D99" w:rsidRDefault="00000000">
      <w:r>
        <w:pict w14:anchorId="1274550C">
          <v:rect id="_x0000_i1044" style="width:0;height:1.5pt" o:hralign="center" o:hrstd="t" o:hr="t"/>
        </w:pict>
      </w:r>
    </w:p>
    <w:p w14:paraId="09F0DBB3" w14:textId="77777777" w:rsidR="00400D99" w:rsidRDefault="00000000">
      <w:pPr>
        <w:pStyle w:val="Heading1"/>
      </w:pPr>
      <w:bookmarkStart w:id="33" w:name="appendix-b-dashboard-screenshots"/>
      <w:bookmarkEnd w:id="32"/>
      <w:r>
        <w:t>Appendix B: Dashboard Screenshots</w:t>
      </w:r>
    </w:p>
    <w:p w14:paraId="5DCB6945" w14:textId="77777777" w:rsidR="00400D99" w:rsidRDefault="00000000">
      <w:pPr>
        <w:pStyle w:val="Compact"/>
        <w:numPr>
          <w:ilvl w:val="0"/>
          <w:numId w:val="8"/>
        </w:numPr>
      </w:pPr>
      <w:r>
        <w:t>Dashboard Home Screen</w:t>
      </w:r>
    </w:p>
    <w:p w14:paraId="355969C8" w14:textId="2342DE47" w:rsidR="00161115" w:rsidRDefault="00161115" w:rsidP="00161115">
      <w:pPr>
        <w:pStyle w:val="Compact"/>
        <w:ind w:left="360"/>
      </w:pPr>
      <w:r w:rsidRPr="00161115">
        <w:drawing>
          <wp:inline distT="0" distB="0" distL="0" distR="0" wp14:anchorId="57561F96" wp14:editId="0ED58CC7">
            <wp:extent cx="5943600" cy="2782570"/>
            <wp:effectExtent l="0" t="0" r="0" b="0"/>
            <wp:docPr id="6633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5450" name=""/>
                    <pic:cNvPicPr/>
                  </pic:nvPicPr>
                  <pic:blipFill>
                    <a:blip r:embed="rId11"/>
                    <a:stretch>
                      <a:fillRect/>
                    </a:stretch>
                  </pic:blipFill>
                  <pic:spPr>
                    <a:xfrm>
                      <a:off x="0" y="0"/>
                      <a:ext cx="5943600" cy="2782570"/>
                    </a:xfrm>
                    <a:prstGeom prst="rect">
                      <a:avLst/>
                    </a:prstGeom>
                  </pic:spPr>
                </pic:pic>
              </a:graphicData>
            </a:graphic>
          </wp:inline>
        </w:drawing>
      </w:r>
    </w:p>
    <w:p w14:paraId="0D4A3E42" w14:textId="77777777" w:rsidR="00161115" w:rsidRDefault="00161115" w:rsidP="00161115">
      <w:pPr>
        <w:pStyle w:val="Compact"/>
        <w:ind w:left="360"/>
      </w:pPr>
    </w:p>
    <w:p w14:paraId="4C3B4EEB" w14:textId="77777777" w:rsidR="00161115" w:rsidRDefault="00161115" w:rsidP="00161115">
      <w:pPr>
        <w:pStyle w:val="Compact"/>
        <w:ind w:left="360"/>
      </w:pPr>
    </w:p>
    <w:p w14:paraId="592AA05C" w14:textId="77777777" w:rsidR="00400D99" w:rsidRDefault="00000000">
      <w:pPr>
        <w:pStyle w:val="Compact"/>
        <w:numPr>
          <w:ilvl w:val="0"/>
          <w:numId w:val="8"/>
        </w:numPr>
      </w:pPr>
      <w:r>
        <w:lastRenderedPageBreak/>
        <w:t>Capacity Stress Monitor</w:t>
      </w:r>
    </w:p>
    <w:p w14:paraId="30A372FA" w14:textId="68EC5B07" w:rsidR="00161115" w:rsidRDefault="00161115" w:rsidP="00161115">
      <w:pPr>
        <w:pStyle w:val="Compact"/>
        <w:ind w:left="360"/>
      </w:pPr>
      <w:r w:rsidRPr="00161115">
        <w:drawing>
          <wp:inline distT="0" distB="0" distL="0" distR="0" wp14:anchorId="4E6D0A70" wp14:editId="1F4A8972">
            <wp:extent cx="5943600" cy="2061210"/>
            <wp:effectExtent l="0" t="0" r="0" b="0"/>
            <wp:docPr id="174899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7945" name=""/>
                    <pic:cNvPicPr/>
                  </pic:nvPicPr>
                  <pic:blipFill>
                    <a:blip r:embed="rId12"/>
                    <a:stretch>
                      <a:fillRect/>
                    </a:stretch>
                  </pic:blipFill>
                  <pic:spPr>
                    <a:xfrm>
                      <a:off x="0" y="0"/>
                      <a:ext cx="5943600" cy="2061210"/>
                    </a:xfrm>
                    <a:prstGeom prst="rect">
                      <a:avLst/>
                    </a:prstGeom>
                  </pic:spPr>
                </pic:pic>
              </a:graphicData>
            </a:graphic>
          </wp:inline>
        </w:drawing>
      </w:r>
    </w:p>
    <w:p w14:paraId="5356C189" w14:textId="77777777" w:rsidR="00400D99" w:rsidRDefault="00000000">
      <w:pPr>
        <w:pStyle w:val="Compact"/>
        <w:numPr>
          <w:ilvl w:val="0"/>
          <w:numId w:val="8"/>
        </w:numPr>
      </w:pPr>
      <w:r>
        <w:t>Net Intake Analysis Panel</w:t>
      </w:r>
    </w:p>
    <w:p w14:paraId="2FCE5BD7" w14:textId="3C4465DD" w:rsidR="00161115" w:rsidRDefault="00161115" w:rsidP="00161115">
      <w:pPr>
        <w:pStyle w:val="Compact"/>
        <w:ind w:left="360"/>
      </w:pPr>
      <w:r w:rsidRPr="00161115">
        <w:drawing>
          <wp:inline distT="0" distB="0" distL="0" distR="0" wp14:anchorId="2704B112" wp14:editId="1C357B56">
            <wp:extent cx="5943600" cy="1976120"/>
            <wp:effectExtent l="0" t="0" r="0" b="0"/>
            <wp:docPr id="5743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6014" name=""/>
                    <pic:cNvPicPr/>
                  </pic:nvPicPr>
                  <pic:blipFill>
                    <a:blip r:embed="rId13"/>
                    <a:stretch>
                      <a:fillRect/>
                    </a:stretch>
                  </pic:blipFill>
                  <pic:spPr>
                    <a:xfrm>
                      <a:off x="0" y="0"/>
                      <a:ext cx="5943600" cy="1976120"/>
                    </a:xfrm>
                    <a:prstGeom prst="rect">
                      <a:avLst/>
                    </a:prstGeom>
                  </pic:spPr>
                </pic:pic>
              </a:graphicData>
            </a:graphic>
          </wp:inline>
        </w:drawing>
      </w:r>
    </w:p>
    <w:p w14:paraId="424B95FD" w14:textId="77777777" w:rsidR="00400D99" w:rsidRDefault="00000000">
      <w:r>
        <w:pict w14:anchorId="13EF67A8">
          <v:rect id="_x0000_i1045" style="width:0;height:1.5pt" o:hralign="center" o:hrstd="t" o:hr="t"/>
        </w:pict>
      </w:r>
    </w:p>
    <w:p w14:paraId="68C5CFFE" w14:textId="77777777" w:rsidR="00400D99" w:rsidRDefault="00000000">
      <w:pPr>
        <w:pStyle w:val="Heading1"/>
      </w:pPr>
      <w:bookmarkStart w:id="34" w:name="appendix-c-summary-statistics"/>
      <w:bookmarkEnd w:id="33"/>
      <w:r>
        <w:t>Appendix C: Summary Statistics</w:t>
      </w:r>
    </w:p>
    <w:p w14:paraId="07C92F40" w14:textId="5EE829D1" w:rsidR="00400D99" w:rsidRDefault="00000000">
      <w:pPr>
        <w:pStyle w:val="FirstParagraph"/>
      </w:pPr>
      <w:r>
        <w:t>KPI summary table and monthly trend summary exported from the analytics workbook.</w:t>
      </w:r>
    </w:p>
    <w:bookmarkEnd w:id="34"/>
    <w:p w14:paraId="412EBC02" w14:textId="77777777" w:rsidR="00161115" w:rsidRPr="00161115" w:rsidRDefault="00161115" w:rsidP="00161115">
      <w:pPr>
        <w:rPr>
          <w:b/>
          <w:bCs/>
          <w:lang w:val="en-IN"/>
        </w:rPr>
      </w:pPr>
      <w:r w:rsidRPr="00161115">
        <w:rPr>
          <w:b/>
          <w:bCs/>
          <w:lang w:val="en-IN"/>
        </w:rPr>
        <w:t>Table 1. KPI Summary of UAC Care System Performance (2023–2025)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2346"/>
        <w:gridCol w:w="1236"/>
        <w:gridCol w:w="3252"/>
      </w:tblGrid>
      <w:tr w:rsidR="00161115" w:rsidRPr="00161115" w14:paraId="7C24E946" w14:textId="77777777">
        <w:trPr>
          <w:tblHeader/>
          <w:tblCellSpacing w:w="15" w:type="dxa"/>
        </w:trPr>
        <w:tc>
          <w:tcPr>
            <w:tcW w:w="0" w:type="auto"/>
            <w:vAlign w:val="center"/>
            <w:hideMark/>
          </w:tcPr>
          <w:p w14:paraId="38EF77E3" w14:textId="77777777" w:rsidR="00161115" w:rsidRPr="00161115" w:rsidRDefault="00161115" w:rsidP="00161115">
            <w:pPr>
              <w:rPr>
                <w:b/>
                <w:bCs/>
                <w:lang w:val="en-IN"/>
              </w:rPr>
            </w:pPr>
            <w:r w:rsidRPr="00161115">
              <w:rPr>
                <w:b/>
                <w:bCs/>
                <w:lang w:val="en-IN"/>
              </w:rPr>
              <w:t>KPI</w:t>
            </w:r>
          </w:p>
        </w:tc>
        <w:tc>
          <w:tcPr>
            <w:tcW w:w="0" w:type="auto"/>
            <w:vAlign w:val="center"/>
            <w:hideMark/>
          </w:tcPr>
          <w:p w14:paraId="55D70D2A" w14:textId="77777777" w:rsidR="00161115" w:rsidRPr="00161115" w:rsidRDefault="00161115" w:rsidP="00161115">
            <w:pPr>
              <w:rPr>
                <w:b/>
                <w:bCs/>
                <w:lang w:val="en-IN"/>
              </w:rPr>
            </w:pPr>
            <w:r w:rsidRPr="00161115">
              <w:rPr>
                <w:b/>
                <w:bCs/>
                <w:lang w:val="en-IN"/>
              </w:rPr>
              <w:t>Formula</w:t>
            </w:r>
          </w:p>
        </w:tc>
        <w:tc>
          <w:tcPr>
            <w:tcW w:w="0" w:type="auto"/>
            <w:vAlign w:val="center"/>
            <w:hideMark/>
          </w:tcPr>
          <w:p w14:paraId="3620EBF6" w14:textId="77777777" w:rsidR="00161115" w:rsidRPr="00161115" w:rsidRDefault="00161115" w:rsidP="00161115">
            <w:pPr>
              <w:rPr>
                <w:b/>
                <w:bCs/>
                <w:lang w:val="en-IN"/>
              </w:rPr>
            </w:pPr>
            <w:r w:rsidRPr="00161115">
              <w:rPr>
                <w:b/>
                <w:bCs/>
                <w:lang w:val="en-IN"/>
              </w:rPr>
              <w:t>Value</w:t>
            </w:r>
          </w:p>
        </w:tc>
        <w:tc>
          <w:tcPr>
            <w:tcW w:w="0" w:type="auto"/>
            <w:vAlign w:val="center"/>
            <w:hideMark/>
          </w:tcPr>
          <w:p w14:paraId="2808FED5" w14:textId="77777777" w:rsidR="00161115" w:rsidRPr="00161115" w:rsidRDefault="00161115" w:rsidP="00161115">
            <w:pPr>
              <w:rPr>
                <w:b/>
                <w:bCs/>
                <w:lang w:val="en-IN"/>
              </w:rPr>
            </w:pPr>
            <w:r w:rsidRPr="00161115">
              <w:rPr>
                <w:b/>
                <w:bCs/>
                <w:lang w:val="en-IN"/>
              </w:rPr>
              <w:t>Interpretation</w:t>
            </w:r>
          </w:p>
        </w:tc>
      </w:tr>
      <w:tr w:rsidR="00161115" w:rsidRPr="00161115" w14:paraId="3E4C636F" w14:textId="77777777">
        <w:trPr>
          <w:tblCellSpacing w:w="15" w:type="dxa"/>
        </w:trPr>
        <w:tc>
          <w:tcPr>
            <w:tcW w:w="0" w:type="auto"/>
            <w:vAlign w:val="center"/>
            <w:hideMark/>
          </w:tcPr>
          <w:p w14:paraId="2F160F9A" w14:textId="77777777" w:rsidR="00161115" w:rsidRPr="00161115" w:rsidRDefault="00161115" w:rsidP="00161115">
            <w:pPr>
              <w:rPr>
                <w:lang w:val="en-IN"/>
              </w:rPr>
            </w:pPr>
            <w:r w:rsidRPr="00161115">
              <w:rPr>
                <w:lang w:val="en-IN"/>
              </w:rPr>
              <w:t>Total Children Apprehended</w:t>
            </w:r>
          </w:p>
        </w:tc>
        <w:tc>
          <w:tcPr>
            <w:tcW w:w="0" w:type="auto"/>
            <w:vAlign w:val="center"/>
            <w:hideMark/>
          </w:tcPr>
          <w:p w14:paraId="7C615372" w14:textId="77777777" w:rsidR="00161115" w:rsidRPr="00161115" w:rsidRDefault="00161115" w:rsidP="00161115">
            <w:pPr>
              <w:rPr>
                <w:lang w:val="en-IN"/>
              </w:rPr>
            </w:pPr>
            <w:r w:rsidRPr="00161115">
              <w:rPr>
                <w:lang w:val="en-IN"/>
              </w:rPr>
              <w:t>Sum of Daily Apprehensions</w:t>
            </w:r>
          </w:p>
        </w:tc>
        <w:tc>
          <w:tcPr>
            <w:tcW w:w="0" w:type="auto"/>
            <w:vAlign w:val="center"/>
            <w:hideMark/>
          </w:tcPr>
          <w:p w14:paraId="3CCB27B6" w14:textId="77777777" w:rsidR="00161115" w:rsidRPr="00161115" w:rsidRDefault="00161115" w:rsidP="00161115">
            <w:pPr>
              <w:rPr>
                <w:lang w:val="en-IN"/>
              </w:rPr>
            </w:pPr>
            <w:r w:rsidRPr="00161115">
              <w:rPr>
                <w:lang w:val="en-IN"/>
              </w:rPr>
              <w:t>67,337</w:t>
            </w:r>
          </w:p>
        </w:tc>
        <w:tc>
          <w:tcPr>
            <w:tcW w:w="0" w:type="auto"/>
            <w:vAlign w:val="center"/>
            <w:hideMark/>
          </w:tcPr>
          <w:p w14:paraId="58BF4F27" w14:textId="77777777" w:rsidR="00161115" w:rsidRPr="00161115" w:rsidRDefault="00161115" w:rsidP="00161115">
            <w:pPr>
              <w:rPr>
                <w:lang w:val="en-IN"/>
              </w:rPr>
            </w:pPr>
            <w:r w:rsidRPr="00161115">
              <w:rPr>
                <w:lang w:val="en-IN"/>
              </w:rPr>
              <w:t>Total children entering CBP custody</w:t>
            </w:r>
          </w:p>
        </w:tc>
      </w:tr>
      <w:tr w:rsidR="00161115" w:rsidRPr="00161115" w14:paraId="5D3B7E49" w14:textId="77777777">
        <w:trPr>
          <w:tblCellSpacing w:w="15" w:type="dxa"/>
        </w:trPr>
        <w:tc>
          <w:tcPr>
            <w:tcW w:w="0" w:type="auto"/>
            <w:vAlign w:val="center"/>
            <w:hideMark/>
          </w:tcPr>
          <w:p w14:paraId="138F721E" w14:textId="77777777" w:rsidR="00161115" w:rsidRPr="00161115" w:rsidRDefault="00161115" w:rsidP="00161115">
            <w:pPr>
              <w:rPr>
                <w:lang w:val="en-IN"/>
              </w:rPr>
            </w:pPr>
            <w:r w:rsidRPr="00161115">
              <w:rPr>
                <w:lang w:val="en-IN"/>
              </w:rPr>
              <w:t>Total Children Transferred to HHS</w:t>
            </w:r>
          </w:p>
        </w:tc>
        <w:tc>
          <w:tcPr>
            <w:tcW w:w="0" w:type="auto"/>
            <w:vAlign w:val="center"/>
            <w:hideMark/>
          </w:tcPr>
          <w:p w14:paraId="0119A5BF" w14:textId="77777777" w:rsidR="00161115" w:rsidRPr="00161115" w:rsidRDefault="00161115" w:rsidP="00161115">
            <w:pPr>
              <w:rPr>
                <w:lang w:val="en-IN"/>
              </w:rPr>
            </w:pPr>
            <w:r w:rsidRPr="00161115">
              <w:rPr>
                <w:lang w:val="en-IN"/>
              </w:rPr>
              <w:t>Sum of Daily Transfers</w:t>
            </w:r>
          </w:p>
        </w:tc>
        <w:tc>
          <w:tcPr>
            <w:tcW w:w="0" w:type="auto"/>
            <w:vAlign w:val="center"/>
            <w:hideMark/>
          </w:tcPr>
          <w:p w14:paraId="4FF83061" w14:textId="77777777" w:rsidR="00161115" w:rsidRPr="00161115" w:rsidRDefault="00161115" w:rsidP="00161115">
            <w:pPr>
              <w:rPr>
                <w:lang w:val="en-IN"/>
              </w:rPr>
            </w:pPr>
            <w:r w:rsidRPr="00161115">
              <w:rPr>
                <w:lang w:val="en-IN"/>
              </w:rPr>
              <w:t>92,641</w:t>
            </w:r>
          </w:p>
        </w:tc>
        <w:tc>
          <w:tcPr>
            <w:tcW w:w="0" w:type="auto"/>
            <w:vAlign w:val="center"/>
            <w:hideMark/>
          </w:tcPr>
          <w:p w14:paraId="7F64E894" w14:textId="77777777" w:rsidR="00161115" w:rsidRPr="00161115" w:rsidRDefault="00161115" w:rsidP="00161115">
            <w:pPr>
              <w:rPr>
                <w:lang w:val="en-IN"/>
              </w:rPr>
            </w:pPr>
            <w:r w:rsidRPr="00161115">
              <w:rPr>
                <w:lang w:val="en-IN"/>
              </w:rPr>
              <w:t>Children moved into HHS care facilities</w:t>
            </w:r>
          </w:p>
        </w:tc>
      </w:tr>
      <w:tr w:rsidR="00161115" w:rsidRPr="00161115" w14:paraId="7032FCF3" w14:textId="77777777">
        <w:trPr>
          <w:tblCellSpacing w:w="15" w:type="dxa"/>
        </w:trPr>
        <w:tc>
          <w:tcPr>
            <w:tcW w:w="0" w:type="auto"/>
            <w:vAlign w:val="center"/>
            <w:hideMark/>
          </w:tcPr>
          <w:p w14:paraId="4E688E8F" w14:textId="77777777" w:rsidR="00161115" w:rsidRPr="00161115" w:rsidRDefault="00161115" w:rsidP="00161115">
            <w:pPr>
              <w:rPr>
                <w:lang w:val="en-IN"/>
              </w:rPr>
            </w:pPr>
            <w:r w:rsidRPr="00161115">
              <w:rPr>
                <w:lang w:val="en-IN"/>
              </w:rPr>
              <w:t>Total Children Discharged</w:t>
            </w:r>
          </w:p>
        </w:tc>
        <w:tc>
          <w:tcPr>
            <w:tcW w:w="0" w:type="auto"/>
            <w:vAlign w:val="center"/>
            <w:hideMark/>
          </w:tcPr>
          <w:p w14:paraId="1C31EE33" w14:textId="77777777" w:rsidR="00161115" w:rsidRPr="00161115" w:rsidRDefault="00161115" w:rsidP="00161115">
            <w:pPr>
              <w:rPr>
                <w:lang w:val="en-IN"/>
              </w:rPr>
            </w:pPr>
            <w:r w:rsidRPr="00161115">
              <w:rPr>
                <w:lang w:val="en-IN"/>
              </w:rPr>
              <w:t>Sum of Daily Discharges</w:t>
            </w:r>
          </w:p>
        </w:tc>
        <w:tc>
          <w:tcPr>
            <w:tcW w:w="0" w:type="auto"/>
            <w:vAlign w:val="center"/>
            <w:hideMark/>
          </w:tcPr>
          <w:p w14:paraId="428BE3BC" w14:textId="77777777" w:rsidR="00161115" w:rsidRPr="00161115" w:rsidRDefault="00161115" w:rsidP="00161115">
            <w:pPr>
              <w:rPr>
                <w:lang w:val="en-IN"/>
              </w:rPr>
            </w:pPr>
            <w:r w:rsidRPr="00161115">
              <w:rPr>
                <w:lang w:val="en-IN"/>
              </w:rPr>
              <w:t>124,853</w:t>
            </w:r>
          </w:p>
        </w:tc>
        <w:tc>
          <w:tcPr>
            <w:tcW w:w="0" w:type="auto"/>
            <w:vAlign w:val="center"/>
            <w:hideMark/>
          </w:tcPr>
          <w:p w14:paraId="0BAC6889" w14:textId="77777777" w:rsidR="00161115" w:rsidRPr="00161115" w:rsidRDefault="00161115" w:rsidP="00161115">
            <w:pPr>
              <w:rPr>
                <w:lang w:val="en-IN"/>
              </w:rPr>
            </w:pPr>
            <w:r w:rsidRPr="00161115">
              <w:rPr>
                <w:lang w:val="en-IN"/>
              </w:rPr>
              <w:t>Successful sponsor reunifications</w:t>
            </w:r>
          </w:p>
        </w:tc>
      </w:tr>
      <w:tr w:rsidR="00161115" w:rsidRPr="00161115" w14:paraId="1A1B50A3" w14:textId="77777777">
        <w:trPr>
          <w:tblCellSpacing w:w="15" w:type="dxa"/>
        </w:trPr>
        <w:tc>
          <w:tcPr>
            <w:tcW w:w="0" w:type="auto"/>
            <w:vAlign w:val="center"/>
            <w:hideMark/>
          </w:tcPr>
          <w:p w14:paraId="6F1EE46B" w14:textId="77777777" w:rsidR="00161115" w:rsidRPr="00161115" w:rsidRDefault="00161115" w:rsidP="00161115">
            <w:pPr>
              <w:rPr>
                <w:lang w:val="en-IN"/>
              </w:rPr>
            </w:pPr>
            <w:r w:rsidRPr="00161115">
              <w:rPr>
                <w:lang w:val="en-IN"/>
              </w:rPr>
              <w:lastRenderedPageBreak/>
              <w:t>Average CBP Population</w:t>
            </w:r>
          </w:p>
        </w:tc>
        <w:tc>
          <w:tcPr>
            <w:tcW w:w="0" w:type="auto"/>
            <w:vAlign w:val="center"/>
            <w:hideMark/>
          </w:tcPr>
          <w:p w14:paraId="0F2DDDAD" w14:textId="77777777" w:rsidR="00161115" w:rsidRPr="00161115" w:rsidRDefault="00161115" w:rsidP="00161115">
            <w:pPr>
              <w:rPr>
                <w:lang w:val="en-IN"/>
              </w:rPr>
            </w:pPr>
            <w:r w:rsidRPr="00161115">
              <w:rPr>
                <w:lang w:val="en-IN"/>
              </w:rPr>
              <w:t>Mean(CBP Custody)</w:t>
            </w:r>
          </w:p>
        </w:tc>
        <w:tc>
          <w:tcPr>
            <w:tcW w:w="0" w:type="auto"/>
            <w:vAlign w:val="center"/>
            <w:hideMark/>
          </w:tcPr>
          <w:p w14:paraId="6D9DF29D" w14:textId="77777777" w:rsidR="00161115" w:rsidRPr="00161115" w:rsidRDefault="00161115" w:rsidP="00161115">
            <w:pPr>
              <w:rPr>
                <w:lang w:val="en-IN"/>
              </w:rPr>
            </w:pPr>
            <w:r w:rsidRPr="00161115">
              <w:rPr>
                <w:lang w:val="en-IN"/>
              </w:rPr>
              <w:t>169</w:t>
            </w:r>
          </w:p>
        </w:tc>
        <w:tc>
          <w:tcPr>
            <w:tcW w:w="0" w:type="auto"/>
            <w:vAlign w:val="center"/>
            <w:hideMark/>
          </w:tcPr>
          <w:p w14:paraId="5F7156C9" w14:textId="77777777" w:rsidR="00161115" w:rsidRPr="00161115" w:rsidRDefault="00161115" w:rsidP="00161115">
            <w:pPr>
              <w:rPr>
                <w:lang w:val="en-IN"/>
              </w:rPr>
            </w:pPr>
            <w:r w:rsidRPr="00161115">
              <w:rPr>
                <w:lang w:val="en-IN"/>
              </w:rPr>
              <w:t>Average daily population in CBP custody</w:t>
            </w:r>
          </w:p>
        </w:tc>
      </w:tr>
      <w:tr w:rsidR="00161115" w:rsidRPr="00161115" w14:paraId="73C9367D" w14:textId="77777777">
        <w:trPr>
          <w:tblCellSpacing w:w="15" w:type="dxa"/>
        </w:trPr>
        <w:tc>
          <w:tcPr>
            <w:tcW w:w="0" w:type="auto"/>
            <w:vAlign w:val="center"/>
            <w:hideMark/>
          </w:tcPr>
          <w:p w14:paraId="24F13B1C" w14:textId="77777777" w:rsidR="00161115" w:rsidRPr="00161115" w:rsidRDefault="00161115" w:rsidP="00161115">
            <w:pPr>
              <w:rPr>
                <w:lang w:val="en-IN"/>
              </w:rPr>
            </w:pPr>
            <w:r w:rsidRPr="00161115">
              <w:rPr>
                <w:lang w:val="en-IN"/>
              </w:rPr>
              <w:t>Average HHS Population</w:t>
            </w:r>
          </w:p>
        </w:tc>
        <w:tc>
          <w:tcPr>
            <w:tcW w:w="0" w:type="auto"/>
            <w:vAlign w:val="center"/>
            <w:hideMark/>
          </w:tcPr>
          <w:p w14:paraId="557555FF" w14:textId="77777777" w:rsidR="00161115" w:rsidRPr="00161115" w:rsidRDefault="00161115" w:rsidP="00161115">
            <w:pPr>
              <w:rPr>
                <w:lang w:val="en-IN"/>
              </w:rPr>
            </w:pPr>
            <w:r w:rsidRPr="00161115">
              <w:rPr>
                <w:lang w:val="en-IN"/>
              </w:rPr>
              <w:t>Mean(HHS Care)</w:t>
            </w:r>
          </w:p>
        </w:tc>
        <w:tc>
          <w:tcPr>
            <w:tcW w:w="0" w:type="auto"/>
            <w:vAlign w:val="center"/>
            <w:hideMark/>
          </w:tcPr>
          <w:p w14:paraId="1170F3A7" w14:textId="77777777" w:rsidR="00161115" w:rsidRPr="00161115" w:rsidRDefault="00161115" w:rsidP="00161115">
            <w:pPr>
              <w:rPr>
                <w:lang w:val="en-IN"/>
              </w:rPr>
            </w:pPr>
            <w:r w:rsidRPr="00161115">
              <w:rPr>
                <w:lang w:val="en-IN"/>
              </w:rPr>
              <w:t>6,063</w:t>
            </w:r>
          </w:p>
        </w:tc>
        <w:tc>
          <w:tcPr>
            <w:tcW w:w="0" w:type="auto"/>
            <w:vAlign w:val="center"/>
            <w:hideMark/>
          </w:tcPr>
          <w:p w14:paraId="3540033E" w14:textId="77777777" w:rsidR="00161115" w:rsidRPr="00161115" w:rsidRDefault="00161115" w:rsidP="00161115">
            <w:pPr>
              <w:rPr>
                <w:lang w:val="en-IN"/>
              </w:rPr>
            </w:pPr>
            <w:r w:rsidRPr="00161115">
              <w:rPr>
                <w:lang w:val="en-IN"/>
              </w:rPr>
              <w:t>Average daily population in HHS care</w:t>
            </w:r>
          </w:p>
        </w:tc>
      </w:tr>
      <w:tr w:rsidR="00161115" w:rsidRPr="00161115" w14:paraId="6DCB8962" w14:textId="77777777">
        <w:trPr>
          <w:tblCellSpacing w:w="15" w:type="dxa"/>
        </w:trPr>
        <w:tc>
          <w:tcPr>
            <w:tcW w:w="0" w:type="auto"/>
            <w:vAlign w:val="center"/>
            <w:hideMark/>
          </w:tcPr>
          <w:p w14:paraId="093C58DE" w14:textId="77777777" w:rsidR="00161115" w:rsidRPr="00161115" w:rsidRDefault="00161115" w:rsidP="00161115">
            <w:pPr>
              <w:rPr>
                <w:lang w:val="en-IN"/>
              </w:rPr>
            </w:pPr>
            <w:r w:rsidRPr="00161115">
              <w:rPr>
                <w:lang w:val="en-IN"/>
              </w:rPr>
              <w:t>Average Total System Load</w:t>
            </w:r>
          </w:p>
        </w:tc>
        <w:tc>
          <w:tcPr>
            <w:tcW w:w="0" w:type="auto"/>
            <w:vAlign w:val="center"/>
            <w:hideMark/>
          </w:tcPr>
          <w:p w14:paraId="6B29EF13" w14:textId="77777777" w:rsidR="00161115" w:rsidRPr="00161115" w:rsidRDefault="00161115" w:rsidP="00161115">
            <w:pPr>
              <w:rPr>
                <w:lang w:val="en-IN"/>
              </w:rPr>
            </w:pPr>
            <w:r w:rsidRPr="00161115">
              <w:rPr>
                <w:lang w:val="en-IN"/>
              </w:rPr>
              <w:t>Mean(CBP + HHS)</w:t>
            </w:r>
          </w:p>
        </w:tc>
        <w:tc>
          <w:tcPr>
            <w:tcW w:w="0" w:type="auto"/>
            <w:vAlign w:val="center"/>
            <w:hideMark/>
          </w:tcPr>
          <w:p w14:paraId="42C58F1C" w14:textId="77777777" w:rsidR="00161115" w:rsidRPr="00161115" w:rsidRDefault="00161115" w:rsidP="00161115">
            <w:pPr>
              <w:rPr>
                <w:lang w:val="en-IN"/>
              </w:rPr>
            </w:pPr>
            <w:r w:rsidRPr="00161115">
              <w:rPr>
                <w:lang w:val="en-IN"/>
              </w:rPr>
              <w:t>6,232</w:t>
            </w:r>
          </w:p>
        </w:tc>
        <w:tc>
          <w:tcPr>
            <w:tcW w:w="0" w:type="auto"/>
            <w:vAlign w:val="center"/>
            <w:hideMark/>
          </w:tcPr>
          <w:p w14:paraId="300FEB88" w14:textId="77777777" w:rsidR="00161115" w:rsidRPr="00161115" w:rsidRDefault="00161115" w:rsidP="00161115">
            <w:pPr>
              <w:rPr>
                <w:lang w:val="en-IN"/>
              </w:rPr>
            </w:pPr>
            <w:r w:rsidRPr="00161115">
              <w:rPr>
                <w:lang w:val="en-IN"/>
              </w:rPr>
              <w:t>Average children under federal responsibility</w:t>
            </w:r>
          </w:p>
        </w:tc>
      </w:tr>
      <w:tr w:rsidR="00161115" w:rsidRPr="00161115" w14:paraId="3F5D8795" w14:textId="77777777">
        <w:trPr>
          <w:tblCellSpacing w:w="15" w:type="dxa"/>
        </w:trPr>
        <w:tc>
          <w:tcPr>
            <w:tcW w:w="0" w:type="auto"/>
            <w:vAlign w:val="center"/>
            <w:hideMark/>
          </w:tcPr>
          <w:p w14:paraId="346271A8" w14:textId="77777777" w:rsidR="00161115" w:rsidRPr="00161115" w:rsidRDefault="00161115" w:rsidP="00161115">
            <w:pPr>
              <w:rPr>
                <w:lang w:val="en-IN"/>
              </w:rPr>
            </w:pPr>
            <w:r w:rsidRPr="00161115">
              <w:rPr>
                <w:lang w:val="en-IN"/>
              </w:rPr>
              <w:t>Peak System Load</w:t>
            </w:r>
          </w:p>
        </w:tc>
        <w:tc>
          <w:tcPr>
            <w:tcW w:w="0" w:type="auto"/>
            <w:vAlign w:val="center"/>
            <w:hideMark/>
          </w:tcPr>
          <w:p w14:paraId="3FAF1A04" w14:textId="77777777" w:rsidR="00161115" w:rsidRPr="00161115" w:rsidRDefault="00161115" w:rsidP="00161115">
            <w:pPr>
              <w:rPr>
                <w:lang w:val="en-IN"/>
              </w:rPr>
            </w:pPr>
            <w:r w:rsidRPr="00161115">
              <w:rPr>
                <w:lang w:val="en-IN"/>
              </w:rPr>
              <w:t>Maximum System Load</w:t>
            </w:r>
          </w:p>
        </w:tc>
        <w:tc>
          <w:tcPr>
            <w:tcW w:w="0" w:type="auto"/>
            <w:vAlign w:val="center"/>
            <w:hideMark/>
          </w:tcPr>
          <w:p w14:paraId="3B85D914" w14:textId="77777777" w:rsidR="00161115" w:rsidRPr="00161115" w:rsidRDefault="00161115" w:rsidP="00161115">
            <w:pPr>
              <w:rPr>
                <w:lang w:val="en-IN"/>
              </w:rPr>
            </w:pPr>
            <w:r w:rsidRPr="00161115">
              <w:rPr>
                <w:lang w:val="en-IN"/>
              </w:rPr>
              <w:t>11,762</w:t>
            </w:r>
          </w:p>
        </w:tc>
        <w:tc>
          <w:tcPr>
            <w:tcW w:w="0" w:type="auto"/>
            <w:vAlign w:val="center"/>
            <w:hideMark/>
          </w:tcPr>
          <w:p w14:paraId="18E5B500" w14:textId="77777777" w:rsidR="00161115" w:rsidRPr="00161115" w:rsidRDefault="00161115" w:rsidP="00161115">
            <w:pPr>
              <w:rPr>
                <w:lang w:val="en-IN"/>
              </w:rPr>
            </w:pPr>
            <w:r w:rsidRPr="00161115">
              <w:rPr>
                <w:lang w:val="en-IN"/>
              </w:rPr>
              <w:t>Highest observed care burden</w:t>
            </w:r>
          </w:p>
        </w:tc>
      </w:tr>
      <w:tr w:rsidR="00161115" w:rsidRPr="00161115" w14:paraId="6EA57F63" w14:textId="77777777">
        <w:trPr>
          <w:tblCellSpacing w:w="15" w:type="dxa"/>
        </w:trPr>
        <w:tc>
          <w:tcPr>
            <w:tcW w:w="0" w:type="auto"/>
            <w:vAlign w:val="center"/>
            <w:hideMark/>
          </w:tcPr>
          <w:p w14:paraId="02273D05" w14:textId="77777777" w:rsidR="00161115" w:rsidRPr="00161115" w:rsidRDefault="00161115" w:rsidP="00161115">
            <w:pPr>
              <w:rPr>
                <w:lang w:val="en-IN"/>
              </w:rPr>
            </w:pPr>
            <w:r w:rsidRPr="00161115">
              <w:rPr>
                <w:lang w:val="en-IN"/>
              </w:rPr>
              <w:t>Peak Load Date</w:t>
            </w:r>
          </w:p>
        </w:tc>
        <w:tc>
          <w:tcPr>
            <w:tcW w:w="0" w:type="auto"/>
            <w:vAlign w:val="center"/>
            <w:hideMark/>
          </w:tcPr>
          <w:p w14:paraId="365C8CC8" w14:textId="77777777" w:rsidR="00161115" w:rsidRPr="00161115" w:rsidRDefault="00161115" w:rsidP="00161115">
            <w:pPr>
              <w:rPr>
                <w:lang w:val="en-IN"/>
              </w:rPr>
            </w:pPr>
            <w:r w:rsidRPr="00161115">
              <w:rPr>
                <w:lang w:val="en-IN"/>
              </w:rPr>
              <w:t>Date of Maximum Load</w:t>
            </w:r>
          </w:p>
        </w:tc>
        <w:tc>
          <w:tcPr>
            <w:tcW w:w="0" w:type="auto"/>
            <w:vAlign w:val="center"/>
            <w:hideMark/>
          </w:tcPr>
          <w:p w14:paraId="1791B5B2" w14:textId="77777777" w:rsidR="00161115" w:rsidRPr="00161115" w:rsidRDefault="00161115" w:rsidP="00161115">
            <w:pPr>
              <w:rPr>
                <w:lang w:val="en-IN"/>
              </w:rPr>
            </w:pPr>
            <w:r w:rsidRPr="00161115">
              <w:rPr>
                <w:lang w:val="en-IN"/>
              </w:rPr>
              <w:t>20-Dec-2023</w:t>
            </w:r>
          </w:p>
        </w:tc>
        <w:tc>
          <w:tcPr>
            <w:tcW w:w="0" w:type="auto"/>
            <w:vAlign w:val="center"/>
            <w:hideMark/>
          </w:tcPr>
          <w:p w14:paraId="4BF41A65" w14:textId="77777777" w:rsidR="00161115" w:rsidRPr="00161115" w:rsidRDefault="00161115" w:rsidP="00161115">
            <w:pPr>
              <w:rPr>
                <w:lang w:val="en-IN"/>
              </w:rPr>
            </w:pPr>
            <w:r w:rsidRPr="00161115">
              <w:rPr>
                <w:lang w:val="en-IN"/>
              </w:rPr>
              <w:t>Period of greatest operational demand</w:t>
            </w:r>
          </w:p>
        </w:tc>
      </w:tr>
      <w:tr w:rsidR="00161115" w:rsidRPr="00161115" w14:paraId="174C4711" w14:textId="77777777">
        <w:trPr>
          <w:tblCellSpacing w:w="15" w:type="dxa"/>
        </w:trPr>
        <w:tc>
          <w:tcPr>
            <w:tcW w:w="0" w:type="auto"/>
            <w:vAlign w:val="center"/>
            <w:hideMark/>
          </w:tcPr>
          <w:p w14:paraId="5E14EBFA" w14:textId="77777777" w:rsidR="00161115" w:rsidRPr="00161115" w:rsidRDefault="00161115" w:rsidP="00161115">
            <w:pPr>
              <w:rPr>
                <w:lang w:val="en-IN"/>
              </w:rPr>
            </w:pPr>
            <w:r w:rsidRPr="00161115">
              <w:rPr>
                <w:lang w:val="en-IN"/>
              </w:rPr>
              <w:t>Net Intake Pressure</w:t>
            </w:r>
          </w:p>
        </w:tc>
        <w:tc>
          <w:tcPr>
            <w:tcW w:w="0" w:type="auto"/>
            <w:vAlign w:val="center"/>
            <w:hideMark/>
          </w:tcPr>
          <w:p w14:paraId="63ADCF21" w14:textId="77777777" w:rsidR="00161115" w:rsidRPr="00161115" w:rsidRDefault="00161115" w:rsidP="00161115">
            <w:pPr>
              <w:rPr>
                <w:lang w:val="en-IN"/>
              </w:rPr>
            </w:pPr>
            <w:r w:rsidRPr="00161115">
              <w:rPr>
                <w:lang w:val="en-IN"/>
              </w:rPr>
              <w:t>Transfers − Discharges</w:t>
            </w:r>
          </w:p>
        </w:tc>
        <w:tc>
          <w:tcPr>
            <w:tcW w:w="0" w:type="auto"/>
            <w:vAlign w:val="center"/>
            <w:hideMark/>
          </w:tcPr>
          <w:p w14:paraId="1DF001C0" w14:textId="77777777" w:rsidR="00161115" w:rsidRPr="00161115" w:rsidRDefault="00161115" w:rsidP="00161115">
            <w:pPr>
              <w:rPr>
                <w:lang w:val="en-IN"/>
              </w:rPr>
            </w:pPr>
            <w:r w:rsidRPr="00161115">
              <w:rPr>
                <w:lang w:val="en-IN"/>
              </w:rPr>
              <w:t>-32,212</w:t>
            </w:r>
          </w:p>
        </w:tc>
        <w:tc>
          <w:tcPr>
            <w:tcW w:w="0" w:type="auto"/>
            <w:vAlign w:val="center"/>
            <w:hideMark/>
          </w:tcPr>
          <w:p w14:paraId="1B7FF7A5" w14:textId="77777777" w:rsidR="00161115" w:rsidRPr="00161115" w:rsidRDefault="00161115" w:rsidP="00161115">
            <w:pPr>
              <w:rPr>
                <w:lang w:val="en-IN"/>
              </w:rPr>
            </w:pPr>
            <w:r w:rsidRPr="00161115">
              <w:rPr>
                <w:lang w:val="en-IN"/>
              </w:rPr>
              <w:t>Overall discharge activity exceeded intake</w:t>
            </w:r>
          </w:p>
        </w:tc>
      </w:tr>
      <w:tr w:rsidR="00161115" w:rsidRPr="00161115" w14:paraId="2BA6D8CD" w14:textId="77777777">
        <w:trPr>
          <w:tblCellSpacing w:w="15" w:type="dxa"/>
        </w:trPr>
        <w:tc>
          <w:tcPr>
            <w:tcW w:w="0" w:type="auto"/>
            <w:vAlign w:val="center"/>
            <w:hideMark/>
          </w:tcPr>
          <w:p w14:paraId="644F0DA6" w14:textId="77777777" w:rsidR="00161115" w:rsidRPr="00161115" w:rsidRDefault="00161115" w:rsidP="00161115">
            <w:pPr>
              <w:rPr>
                <w:lang w:val="en-IN"/>
              </w:rPr>
            </w:pPr>
            <w:r w:rsidRPr="00161115">
              <w:rPr>
                <w:lang w:val="en-IN"/>
              </w:rPr>
              <w:t>Average Discharge Offset Ratio</w:t>
            </w:r>
          </w:p>
        </w:tc>
        <w:tc>
          <w:tcPr>
            <w:tcW w:w="0" w:type="auto"/>
            <w:vAlign w:val="center"/>
            <w:hideMark/>
          </w:tcPr>
          <w:p w14:paraId="47CB752B" w14:textId="77777777" w:rsidR="00161115" w:rsidRPr="00161115" w:rsidRDefault="00161115" w:rsidP="00161115">
            <w:pPr>
              <w:rPr>
                <w:lang w:val="en-IN"/>
              </w:rPr>
            </w:pPr>
            <w:r w:rsidRPr="00161115">
              <w:rPr>
                <w:lang w:val="en-IN"/>
              </w:rPr>
              <w:t>Discharges ÷ Transfers</w:t>
            </w:r>
          </w:p>
        </w:tc>
        <w:tc>
          <w:tcPr>
            <w:tcW w:w="0" w:type="auto"/>
            <w:vAlign w:val="center"/>
            <w:hideMark/>
          </w:tcPr>
          <w:p w14:paraId="635AC09F" w14:textId="77777777" w:rsidR="00161115" w:rsidRPr="00161115" w:rsidRDefault="00161115" w:rsidP="00161115">
            <w:pPr>
              <w:rPr>
                <w:lang w:val="en-IN"/>
              </w:rPr>
            </w:pPr>
            <w:r w:rsidRPr="00161115">
              <w:rPr>
                <w:lang w:val="en-IN"/>
              </w:rPr>
              <w:t>2.01</w:t>
            </w:r>
          </w:p>
        </w:tc>
        <w:tc>
          <w:tcPr>
            <w:tcW w:w="0" w:type="auto"/>
            <w:vAlign w:val="center"/>
            <w:hideMark/>
          </w:tcPr>
          <w:p w14:paraId="2B9C70F9" w14:textId="77777777" w:rsidR="00161115" w:rsidRPr="00161115" w:rsidRDefault="00161115" w:rsidP="00161115">
            <w:pPr>
              <w:rPr>
                <w:lang w:val="en-IN"/>
              </w:rPr>
            </w:pPr>
            <w:r w:rsidRPr="00161115">
              <w:rPr>
                <w:lang w:val="en-IN"/>
              </w:rPr>
              <w:t>Strong ability to reduce care burden</w:t>
            </w:r>
          </w:p>
        </w:tc>
      </w:tr>
      <w:tr w:rsidR="00161115" w:rsidRPr="00161115" w14:paraId="52CEA33C" w14:textId="77777777">
        <w:trPr>
          <w:tblCellSpacing w:w="15" w:type="dxa"/>
        </w:trPr>
        <w:tc>
          <w:tcPr>
            <w:tcW w:w="0" w:type="auto"/>
            <w:vAlign w:val="center"/>
            <w:hideMark/>
          </w:tcPr>
          <w:p w14:paraId="3AD7E9DE" w14:textId="77777777" w:rsidR="00161115" w:rsidRPr="00161115" w:rsidRDefault="00161115" w:rsidP="00161115">
            <w:pPr>
              <w:rPr>
                <w:lang w:val="en-IN"/>
              </w:rPr>
            </w:pPr>
            <w:r w:rsidRPr="00161115">
              <w:rPr>
                <w:lang w:val="en-IN"/>
              </w:rPr>
              <w:t>Capacity Stress Days</w:t>
            </w:r>
          </w:p>
        </w:tc>
        <w:tc>
          <w:tcPr>
            <w:tcW w:w="0" w:type="auto"/>
            <w:vAlign w:val="center"/>
            <w:hideMark/>
          </w:tcPr>
          <w:p w14:paraId="0833C8BC" w14:textId="77777777" w:rsidR="00161115" w:rsidRPr="00161115" w:rsidRDefault="00161115" w:rsidP="00161115">
            <w:pPr>
              <w:rPr>
                <w:lang w:val="en-IN"/>
              </w:rPr>
            </w:pPr>
            <w:r w:rsidRPr="00161115">
              <w:rPr>
                <w:lang w:val="en-IN"/>
              </w:rPr>
              <w:t>Load &gt; 90th Percentile</w:t>
            </w:r>
          </w:p>
        </w:tc>
        <w:tc>
          <w:tcPr>
            <w:tcW w:w="0" w:type="auto"/>
            <w:vAlign w:val="center"/>
            <w:hideMark/>
          </w:tcPr>
          <w:p w14:paraId="45A89B07" w14:textId="77777777" w:rsidR="00161115" w:rsidRPr="00161115" w:rsidRDefault="00161115" w:rsidP="00161115">
            <w:pPr>
              <w:rPr>
                <w:lang w:val="en-IN"/>
              </w:rPr>
            </w:pPr>
            <w:r w:rsidRPr="00161115">
              <w:rPr>
                <w:lang w:val="en-IN"/>
              </w:rPr>
              <w:t>108 Days</w:t>
            </w:r>
          </w:p>
        </w:tc>
        <w:tc>
          <w:tcPr>
            <w:tcW w:w="0" w:type="auto"/>
            <w:vAlign w:val="center"/>
            <w:hideMark/>
          </w:tcPr>
          <w:p w14:paraId="7050475D" w14:textId="77777777" w:rsidR="00161115" w:rsidRPr="00161115" w:rsidRDefault="00161115" w:rsidP="00161115">
            <w:pPr>
              <w:rPr>
                <w:lang w:val="en-IN"/>
              </w:rPr>
            </w:pPr>
            <w:r w:rsidRPr="00161115">
              <w:rPr>
                <w:lang w:val="en-IN"/>
              </w:rPr>
              <w:t>High-pressure operational periods</w:t>
            </w:r>
          </w:p>
        </w:tc>
      </w:tr>
      <w:tr w:rsidR="00161115" w:rsidRPr="00161115" w14:paraId="13A7B2A0" w14:textId="77777777">
        <w:trPr>
          <w:tblCellSpacing w:w="15" w:type="dxa"/>
        </w:trPr>
        <w:tc>
          <w:tcPr>
            <w:tcW w:w="0" w:type="auto"/>
            <w:vAlign w:val="center"/>
            <w:hideMark/>
          </w:tcPr>
          <w:p w14:paraId="5C5916BA" w14:textId="77777777" w:rsidR="00161115" w:rsidRPr="00161115" w:rsidRDefault="00161115" w:rsidP="00161115">
            <w:pPr>
              <w:rPr>
                <w:lang w:val="en-IN"/>
              </w:rPr>
            </w:pPr>
            <w:r w:rsidRPr="00161115">
              <w:rPr>
                <w:lang w:val="en-IN"/>
              </w:rPr>
              <w:t>Capacity Relief Days</w:t>
            </w:r>
          </w:p>
        </w:tc>
        <w:tc>
          <w:tcPr>
            <w:tcW w:w="0" w:type="auto"/>
            <w:vAlign w:val="center"/>
            <w:hideMark/>
          </w:tcPr>
          <w:p w14:paraId="60C9C6EB" w14:textId="77777777" w:rsidR="00161115" w:rsidRPr="00161115" w:rsidRDefault="00161115" w:rsidP="00161115">
            <w:pPr>
              <w:rPr>
                <w:lang w:val="en-IN"/>
              </w:rPr>
            </w:pPr>
            <w:r w:rsidRPr="00161115">
              <w:rPr>
                <w:lang w:val="en-IN"/>
              </w:rPr>
              <w:t>Load ≤ 90th Percentile</w:t>
            </w:r>
          </w:p>
        </w:tc>
        <w:tc>
          <w:tcPr>
            <w:tcW w:w="0" w:type="auto"/>
            <w:vAlign w:val="center"/>
            <w:hideMark/>
          </w:tcPr>
          <w:p w14:paraId="37E10E0C" w14:textId="77777777" w:rsidR="00161115" w:rsidRPr="00161115" w:rsidRDefault="00161115" w:rsidP="00161115">
            <w:pPr>
              <w:rPr>
                <w:lang w:val="en-IN"/>
              </w:rPr>
            </w:pPr>
            <w:r w:rsidRPr="00161115">
              <w:rPr>
                <w:lang w:val="en-IN"/>
              </w:rPr>
              <w:t>702 Days</w:t>
            </w:r>
          </w:p>
        </w:tc>
        <w:tc>
          <w:tcPr>
            <w:tcW w:w="0" w:type="auto"/>
            <w:vAlign w:val="center"/>
            <w:hideMark/>
          </w:tcPr>
          <w:p w14:paraId="4FE4B2AF" w14:textId="77777777" w:rsidR="00161115" w:rsidRPr="00161115" w:rsidRDefault="00161115" w:rsidP="00161115">
            <w:pPr>
              <w:rPr>
                <w:lang w:val="en-IN"/>
              </w:rPr>
            </w:pPr>
            <w:r w:rsidRPr="00161115">
              <w:rPr>
                <w:lang w:val="en-IN"/>
              </w:rPr>
              <w:t>Stable operating conditions</w:t>
            </w:r>
          </w:p>
        </w:tc>
      </w:tr>
      <w:tr w:rsidR="00161115" w:rsidRPr="00161115" w14:paraId="2D4685B0" w14:textId="77777777">
        <w:trPr>
          <w:tblCellSpacing w:w="15" w:type="dxa"/>
        </w:trPr>
        <w:tc>
          <w:tcPr>
            <w:tcW w:w="0" w:type="auto"/>
            <w:vAlign w:val="center"/>
            <w:hideMark/>
          </w:tcPr>
          <w:p w14:paraId="237C6FCE" w14:textId="77777777" w:rsidR="00161115" w:rsidRPr="00161115" w:rsidRDefault="00161115" w:rsidP="00161115">
            <w:pPr>
              <w:rPr>
                <w:lang w:val="en-IN"/>
              </w:rPr>
            </w:pPr>
            <w:r w:rsidRPr="00161115">
              <w:rPr>
                <w:lang w:val="en-IN"/>
              </w:rPr>
              <w:t>Care Load Volatility Index</w:t>
            </w:r>
          </w:p>
        </w:tc>
        <w:tc>
          <w:tcPr>
            <w:tcW w:w="0" w:type="auto"/>
            <w:vAlign w:val="center"/>
            <w:hideMark/>
          </w:tcPr>
          <w:p w14:paraId="77D9F6D8" w14:textId="77777777" w:rsidR="00161115" w:rsidRPr="00161115" w:rsidRDefault="00161115" w:rsidP="00161115">
            <w:pPr>
              <w:rPr>
                <w:lang w:val="en-IN"/>
              </w:rPr>
            </w:pPr>
            <w:r w:rsidRPr="00161115">
              <w:rPr>
                <w:lang w:val="en-IN"/>
              </w:rPr>
              <w:t>Std Dev of System Load</w:t>
            </w:r>
          </w:p>
        </w:tc>
        <w:tc>
          <w:tcPr>
            <w:tcW w:w="0" w:type="auto"/>
            <w:vAlign w:val="center"/>
            <w:hideMark/>
          </w:tcPr>
          <w:p w14:paraId="7FDFA178" w14:textId="77777777" w:rsidR="00161115" w:rsidRPr="00161115" w:rsidRDefault="00161115" w:rsidP="00161115">
            <w:pPr>
              <w:rPr>
                <w:lang w:val="en-IN"/>
              </w:rPr>
            </w:pPr>
            <w:r w:rsidRPr="00161115">
              <w:rPr>
                <w:lang w:val="en-IN"/>
              </w:rPr>
              <w:t>2,912</w:t>
            </w:r>
          </w:p>
        </w:tc>
        <w:tc>
          <w:tcPr>
            <w:tcW w:w="0" w:type="auto"/>
            <w:vAlign w:val="center"/>
            <w:hideMark/>
          </w:tcPr>
          <w:p w14:paraId="4142731A" w14:textId="77777777" w:rsidR="00161115" w:rsidRPr="00161115" w:rsidRDefault="00161115" w:rsidP="00161115">
            <w:pPr>
              <w:rPr>
                <w:lang w:val="en-IN"/>
              </w:rPr>
            </w:pPr>
            <w:r w:rsidRPr="00161115">
              <w:rPr>
                <w:lang w:val="en-IN"/>
              </w:rPr>
              <w:t>Moderate fluctuation in care demand</w:t>
            </w:r>
          </w:p>
        </w:tc>
      </w:tr>
      <w:tr w:rsidR="00161115" w:rsidRPr="00161115" w14:paraId="1DAFCB56" w14:textId="77777777">
        <w:trPr>
          <w:tblCellSpacing w:w="15" w:type="dxa"/>
        </w:trPr>
        <w:tc>
          <w:tcPr>
            <w:tcW w:w="0" w:type="auto"/>
            <w:vAlign w:val="center"/>
            <w:hideMark/>
          </w:tcPr>
          <w:p w14:paraId="0583713B" w14:textId="77777777" w:rsidR="00161115" w:rsidRPr="00161115" w:rsidRDefault="00161115" w:rsidP="00161115">
            <w:pPr>
              <w:rPr>
                <w:lang w:val="en-IN"/>
              </w:rPr>
            </w:pPr>
            <w:r w:rsidRPr="00161115">
              <w:rPr>
                <w:lang w:val="en-IN"/>
              </w:rPr>
              <w:t>Backlog Accumulation Trend</w:t>
            </w:r>
          </w:p>
        </w:tc>
        <w:tc>
          <w:tcPr>
            <w:tcW w:w="0" w:type="auto"/>
            <w:vAlign w:val="center"/>
            <w:hideMark/>
          </w:tcPr>
          <w:p w14:paraId="1E9B9211" w14:textId="77777777" w:rsidR="00161115" w:rsidRPr="00161115" w:rsidRDefault="00161115" w:rsidP="00161115">
            <w:pPr>
              <w:rPr>
                <w:lang w:val="en-IN"/>
              </w:rPr>
            </w:pPr>
            <w:r w:rsidRPr="00161115">
              <w:rPr>
                <w:lang w:val="en-IN"/>
              </w:rPr>
              <w:t>Cumulative Net Intake</w:t>
            </w:r>
          </w:p>
        </w:tc>
        <w:tc>
          <w:tcPr>
            <w:tcW w:w="0" w:type="auto"/>
            <w:vAlign w:val="center"/>
            <w:hideMark/>
          </w:tcPr>
          <w:p w14:paraId="513F6167" w14:textId="77777777" w:rsidR="00161115" w:rsidRPr="00161115" w:rsidRDefault="00161115" w:rsidP="00161115">
            <w:pPr>
              <w:rPr>
                <w:lang w:val="en-IN"/>
              </w:rPr>
            </w:pPr>
            <w:r w:rsidRPr="00161115">
              <w:rPr>
                <w:lang w:val="en-IN"/>
              </w:rPr>
              <w:t>Declining</w:t>
            </w:r>
          </w:p>
        </w:tc>
        <w:tc>
          <w:tcPr>
            <w:tcW w:w="0" w:type="auto"/>
            <w:vAlign w:val="center"/>
            <w:hideMark/>
          </w:tcPr>
          <w:p w14:paraId="07889459" w14:textId="77777777" w:rsidR="00161115" w:rsidRPr="00161115" w:rsidRDefault="00161115" w:rsidP="00161115">
            <w:pPr>
              <w:rPr>
                <w:lang w:val="en-IN"/>
              </w:rPr>
            </w:pPr>
            <w:r w:rsidRPr="00161115">
              <w:rPr>
                <w:lang w:val="en-IN"/>
              </w:rPr>
              <w:t>Indicates successful backlog reduction</w:t>
            </w:r>
          </w:p>
        </w:tc>
      </w:tr>
    </w:tbl>
    <w:p w14:paraId="7C187423" w14:textId="77777777" w:rsidR="00161115" w:rsidRPr="00161115" w:rsidRDefault="00161115" w:rsidP="00161115">
      <w:pPr>
        <w:rPr>
          <w:lang w:val="en-IN"/>
        </w:rPr>
      </w:pPr>
      <w:r w:rsidRPr="00161115">
        <w:rPr>
          <w:lang w:val="en-IN"/>
        </w:rPr>
        <w:pict w14:anchorId="7D409083">
          <v:rect id="_x0000_i1070" style="width:0;height:1.5pt" o:hralign="center" o:hrstd="t" o:hr="t" fillcolor="#a0a0a0" stroked="f"/>
        </w:pict>
      </w:r>
    </w:p>
    <w:p w14:paraId="512C5102" w14:textId="77777777" w:rsidR="00161115" w:rsidRPr="00161115" w:rsidRDefault="00161115" w:rsidP="00161115">
      <w:pPr>
        <w:rPr>
          <w:b/>
          <w:bCs/>
          <w:lang w:val="en-IN"/>
        </w:rPr>
      </w:pPr>
      <w:r w:rsidRPr="00161115">
        <w:rPr>
          <w:b/>
          <w:bCs/>
          <w:lang w:val="en-IN"/>
        </w:rPr>
        <w:t>Table 2. Operational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1055"/>
        <w:gridCol w:w="4589"/>
      </w:tblGrid>
      <w:tr w:rsidR="00161115" w:rsidRPr="00161115" w14:paraId="6C148C5C" w14:textId="77777777">
        <w:trPr>
          <w:tblHeader/>
          <w:tblCellSpacing w:w="15" w:type="dxa"/>
        </w:trPr>
        <w:tc>
          <w:tcPr>
            <w:tcW w:w="0" w:type="auto"/>
            <w:vAlign w:val="center"/>
            <w:hideMark/>
          </w:tcPr>
          <w:p w14:paraId="2C2CA1F4" w14:textId="77777777" w:rsidR="00161115" w:rsidRPr="00161115" w:rsidRDefault="00161115" w:rsidP="00161115">
            <w:pPr>
              <w:rPr>
                <w:b/>
                <w:bCs/>
                <w:lang w:val="en-IN"/>
              </w:rPr>
            </w:pPr>
            <w:r w:rsidRPr="00161115">
              <w:rPr>
                <w:b/>
                <w:bCs/>
                <w:lang w:val="en-IN"/>
              </w:rPr>
              <w:t>Performance Area</w:t>
            </w:r>
          </w:p>
        </w:tc>
        <w:tc>
          <w:tcPr>
            <w:tcW w:w="0" w:type="auto"/>
            <w:vAlign w:val="center"/>
            <w:hideMark/>
          </w:tcPr>
          <w:p w14:paraId="474DDA84" w14:textId="77777777" w:rsidR="00161115" w:rsidRPr="00161115" w:rsidRDefault="00161115" w:rsidP="00161115">
            <w:pPr>
              <w:rPr>
                <w:b/>
                <w:bCs/>
                <w:lang w:val="en-IN"/>
              </w:rPr>
            </w:pPr>
            <w:r w:rsidRPr="00161115">
              <w:rPr>
                <w:b/>
                <w:bCs/>
                <w:lang w:val="en-IN"/>
              </w:rPr>
              <w:t>Status</w:t>
            </w:r>
          </w:p>
        </w:tc>
        <w:tc>
          <w:tcPr>
            <w:tcW w:w="0" w:type="auto"/>
            <w:vAlign w:val="center"/>
            <w:hideMark/>
          </w:tcPr>
          <w:p w14:paraId="10C4E1BB" w14:textId="77777777" w:rsidR="00161115" w:rsidRPr="00161115" w:rsidRDefault="00161115" w:rsidP="00161115">
            <w:pPr>
              <w:rPr>
                <w:b/>
                <w:bCs/>
                <w:lang w:val="en-IN"/>
              </w:rPr>
            </w:pPr>
            <w:r w:rsidRPr="00161115">
              <w:rPr>
                <w:b/>
                <w:bCs/>
                <w:lang w:val="en-IN"/>
              </w:rPr>
              <w:t>Assessment</w:t>
            </w:r>
          </w:p>
        </w:tc>
      </w:tr>
      <w:tr w:rsidR="00161115" w:rsidRPr="00161115" w14:paraId="76AD024B" w14:textId="77777777">
        <w:trPr>
          <w:tblCellSpacing w:w="15" w:type="dxa"/>
        </w:trPr>
        <w:tc>
          <w:tcPr>
            <w:tcW w:w="0" w:type="auto"/>
            <w:vAlign w:val="center"/>
            <w:hideMark/>
          </w:tcPr>
          <w:p w14:paraId="6B59A5EC" w14:textId="77777777" w:rsidR="00161115" w:rsidRPr="00161115" w:rsidRDefault="00161115" w:rsidP="00161115">
            <w:pPr>
              <w:rPr>
                <w:lang w:val="en-IN"/>
              </w:rPr>
            </w:pPr>
            <w:r w:rsidRPr="00161115">
              <w:rPr>
                <w:lang w:val="en-IN"/>
              </w:rPr>
              <w:t>System Capacity</w:t>
            </w:r>
          </w:p>
        </w:tc>
        <w:tc>
          <w:tcPr>
            <w:tcW w:w="0" w:type="auto"/>
            <w:vAlign w:val="center"/>
            <w:hideMark/>
          </w:tcPr>
          <w:p w14:paraId="693F3C5A" w14:textId="77777777" w:rsidR="00161115" w:rsidRPr="00161115" w:rsidRDefault="00161115" w:rsidP="00161115">
            <w:pPr>
              <w:rPr>
                <w:lang w:val="en-IN"/>
              </w:rPr>
            </w:pPr>
            <w:r w:rsidRPr="00161115">
              <w:rPr>
                <w:lang w:val="en-IN"/>
              </w:rPr>
              <w:t>Good</w:t>
            </w:r>
          </w:p>
        </w:tc>
        <w:tc>
          <w:tcPr>
            <w:tcW w:w="0" w:type="auto"/>
            <w:vAlign w:val="center"/>
            <w:hideMark/>
          </w:tcPr>
          <w:p w14:paraId="39FB3F02" w14:textId="77777777" w:rsidR="00161115" w:rsidRPr="00161115" w:rsidRDefault="00161115" w:rsidP="00161115">
            <w:pPr>
              <w:rPr>
                <w:lang w:val="en-IN"/>
              </w:rPr>
            </w:pPr>
            <w:r w:rsidRPr="00161115">
              <w:rPr>
                <w:lang w:val="en-IN"/>
              </w:rPr>
              <w:t>Capacity generally maintained</w:t>
            </w:r>
          </w:p>
        </w:tc>
      </w:tr>
      <w:tr w:rsidR="00161115" w:rsidRPr="00161115" w14:paraId="2067442D" w14:textId="77777777">
        <w:trPr>
          <w:tblCellSpacing w:w="15" w:type="dxa"/>
        </w:trPr>
        <w:tc>
          <w:tcPr>
            <w:tcW w:w="0" w:type="auto"/>
            <w:vAlign w:val="center"/>
            <w:hideMark/>
          </w:tcPr>
          <w:p w14:paraId="663DFDE4" w14:textId="77777777" w:rsidR="00161115" w:rsidRPr="00161115" w:rsidRDefault="00161115" w:rsidP="00161115">
            <w:pPr>
              <w:rPr>
                <w:lang w:val="en-IN"/>
              </w:rPr>
            </w:pPr>
            <w:r w:rsidRPr="00161115">
              <w:rPr>
                <w:lang w:val="en-IN"/>
              </w:rPr>
              <w:t>Discharge Efficiency</w:t>
            </w:r>
          </w:p>
        </w:tc>
        <w:tc>
          <w:tcPr>
            <w:tcW w:w="0" w:type="auto"/>
            <w:vAlign w:val="center"/>
            <w:hideMark/>
          </w:tcPr>
          <w:p w14:paraId="7341FD66" w14:textId="77777777" w:rsidR="00161115" w:rsidRPr="00161115" w:rsidRDefault="00161115" w:rsidP="00161115">
            <w:pPr>
              <w:rPr>
                <w:lang w:val="en-IN"/>
              </w:rPr>
            </w:pPr>
            <w:r w:rsidRPr="00161115">
              <w:rPr>
                <w:lang w:val="en-IN"/>
              </w:rPr>
              <w:t>Excellent</w:t>
            </w:r>
          </w:p>
        </w:tc>
        <w:tc>
          <w:tcPr>
            <w:tcW w:w="0" w:type="auto"/>
            <w:vAlign w:val="center"/>
            <w:hideMark/>
          </w:tcPr>
          <w:p w14:paraId="45A32FA2" w14:textId="77777777" w:rsidR="00161115" w:rsidRPr="00161115" w:rsidRDefault="00161115" w:rsidP="00161115">
            <w:pPr>
              <w:rPr>
                <w:lang w:val="en-IN"/>
              </w:rPr>
            </w:pPr>
            <w:r w:rsidRPr="00161115">
              <w:rPr>
                <w:lang w:val="en-IN"/>
              </w:rPr>
              <w:t>Discharges consistently exceeded transfers</w:t>
            </w:r>
          </w:p>
        </w:tc>
      </w:tr>
      <w:tr w:rsidR="00161115" w:rsidRPr="00161115" w14:paraId="333ACE62" w14:textId="77777777">
        <w:trPr>
          <w:tblCellSpacing w:w="15" w:type="dxa"/>
        </w:trPr>
        <w:tc>
          <w:tcPr>
            <w:tcW w:w="0" w:type="auto"/>
            <w:vAlign w:val="center"/>
            <w:hideMark/>
          </w:tcPr>
          <w:p w14:paraId="34AF4286" w14:textId="77777777" w:rsidR="00161115" w:rsidRPr="00161115" w:rsidRDefault="00161115" w:rsidP="00161115">
            <w:pPr>
              <w:rPr>
                <w:lang w:val="en-IN"/>
              </w:rPr>
            </w:pPr>
            <w:r w:rsidRPr="00161115">
              <w:rPr>
                <w:lang w:val="en-IN"/>
              </w:rPr>
              <w:lastRenderedPageBreak/>
              <w:t>Backlog Management</w:t>
            </w:r>
          </w:p>
        </w:tc>
        <w:tc>
          <w:tcPr>
            <w:tcW w:w="0" w:type="auto"/>
            <w:vAlign w:val="center"/>
            <w:hideMark/>
          </w:tcPr>
          <w:p w14:paraId="4297CFCB" w14:textId="77777777" w:rsidR="00161115" w:rsidRPr="00161115" w:rsidRDefault="00161115" w:rsidP="00161115">
            <w:pPr>
              <w:rPr>
                <w:lang w:val="en-IN"/>
              </w:rPr>
            </w:pPr>
            <w:r w:rsidRPr="00161115">
              <w:rPr>
                <w:lang w:val="en-IN"/>
              </w:rPr>
              <w:t>Good</w:t>
            </w:r>
          </w:p>
        </w:tc>
        <w:tc>
          <w:tcPr>
            <w:tcW w:w="0" w:type="auto"/>
            <w:vAlign w:val="center"/>
            <w:hideMark/>
          </w:tcPr>
          <w:p w14:paraId="550B72AA" w14:textId="77777777" w:rsidR="00161115" w:rsidRPr="00161115" w:rsidRDefault="00161115" w:rsidP="00161115">
            <w:pPr>
              <w:rPr>
                <w:lang w:val="en-IN"/>
              </w:rPr>
            </w:pPr>
            <w:r w:rsidRPr="00161115">
              <w:rPr>
                <w:lang w:val="en-IN"/>
              </w:rPr>
              <w:t>Backlogs remained temporary</w:t>
            </w:r>
          </w:p>
        </w:tc>
      </w:tr>
      <w:tr w:rsidR="00161115" w:rsidRPr="00161115" w14:paraId="39F0FA22" w14:textId="77777777">
        <w:trPr>
          <w:tblCellSpacing w:w="15" w:type="dxa"/>
        </w:trPr>
        <w:tc>
          <w:tcPr>
            <w:tcW w:w="0" w:type="auto"/>
            <w:vAlign w:val="center"/>
            <w:hideMark/>
          </w:tcPr>
          <w:p w14:paraId="720C4B48" w14:textId="77777777" w:rsidR="00161115" w:rsidRPr="00161115" w:rsidRDefault="00161115" w:rsidP="00161115">
            <w:pPr>
              <w:rPr>
                <w:lang w:val="en-IN"/>
              </w:rPr>
            </w:pPr>
            <w:r w:rsidRPr="00161115">
              <w:rPr>
                <w:lang w:val="en-IN"/>
              </w:rPr>
              <w:t>Resource Sustainability</w:t>
            </w:r>
          </w:p>
        </w:tc>
        <w:tc>
          <w:tcPr>
            <w:tcW w:w="0" w:type="auto"/>
            <w:vAlign w:val="center"/>
            <w:hideMark/>
          </w:tcPr>
          <w:p w14:paraId="5CB10683" w14:textId="77777777" w:rsidR="00161115" w:rsidRPr="00161115" w:rsidRDefault="00161115" w:rsidP="00161115">
            <w:pPr>
              <w:rPr>
                <w:lang w:val="en-IN"/>
              </w:rPr>
            </w:pPr>
            <w:r w:rsidRPr="00161115">
              <w:rPr>
                <w:lang w:val="en-IN"/>
              </w:rPr>
              <w:t>Good</w:t>
            </w:r>
          </w:p>
        </w:tc>
        <w:tc>
          <w:tcPr>
            <w:tcW w:w="0" w:type="auto"/>
            <w:vAlign w:val="center"/>
            <w:hideMark/>
          </w:tcPr>
          <w:p w14:paraId="0E53A516" w14:textId="77777777" w:rsidR="00161115" w:rsidRPr="00161115" w:rsidRDefault="00161115" w:rsidP="00161115">
            <w:pPr>
              <w:rPr>
                <w:lang w:val="en-IN"/>
              </w:rPr>
            </w:pPr>
            <w:r w:rsidRPr="00161115">
              <w:rPr>
                <w:lang w:val="en-IN"/>
              </w:rPr>
              <w:t>Long-term operations remained stable</w:t>
            </w:r>
          </w:p>
        </w:tc>
      </w:tr>
      <w:tr w:rsidR="00161115" w:rsidRPr="00161115" w14:paraId="40DB2F02" w14:textId="77777777">
        <w:trPr>
          <w:tblCellSpacing w:w="15" w:type="dxa"/>
        </w:trPr>
        <w:tc>
          <w:tcPr>
            <w:tcW w:w="0" w:type="auto"/>
            <w:vAlign w:val="center"/>
            <w:hideMark/>
          </w:tcPr>
          <w:p w14:paraId="6CB8CC95" w14:textId="77777777" w:rsidR="00161115" w:rsidRPr="00161115" w:rsidRDefault="00161115" w:rsidP="00161115">
            <w:pPr>
              <w:rPr>
                <w:lang w:val="en-IN"/>
              </w:rPr>
            </w:pPr>
            <w:r w:rsidRPr="00161115">
              <w:rPr>
                <w:lang w:val="en-IN"/>
              </w:rPr>
              <w:t>Surge Preparedness</w:t>
            </w:r>
          </w:p>
        </w:tc>
        <w:tc>
          <w:tcPr>
            <w:tcW w:w="0" w:type="auto"/>
            <w:vAlign w:val="center"/>
            <w:hideMark/>
          </w:tcPr>
          <w:p w14:paraId="088D4EFE" w14:textId="77777777" w:rsidR="00161115" w:rsidRPr="00161115" w:rsidRDefault="00161115" w:rsidP="00161115">
            <w:pPr>
              <w:rPr>
                <w:lang w:val="en-IN"/>
              </w:rPr>
            </w:pPr>
            <w:r w:rsidRPr="00161115">
              <w:rPr>
                <w:lang w:val="en-IN"/>
              </w:rPr>
              <w:t>Moderate</w:t>
            </w:r>
          </w:p>
        </w:tc>
        <w:tc>
          <w:tcPr>
            <w:tcW w:w="0" w:type="auto"/>
            <w:vAlign w:val="center"/>
            <w:hideMark/>
          </w:tcPr>
          <w:p w14:paraId="301C1840" w14:textId="77777777" w:rsidR="00161115" w:rsidRPr="00161115" w:rsidRDefault="00161115" w:rsidP="00161115">
            <w:pPr>
              <w:rPr>
                <w:lang w:val="en-IN"/>
              </w:rPr>
            </w:pPr>
            <w:r w:rsidRPr="00161115">
              <w:rPr>
                <w:lang w:val="en-IN"/>
              </w:rPr>
              <w:t>Stress periods still occurred</w:t>
            </w:r>
          </w:p>
        </w:tc>
      </w:tr>
      <w:tr w:rsidR="00161115" w:rsidRPr="00161115" w14:paraId="22CB91A1" w14:textId="77777777">
        <w:trPr>
          <w:tblCellSpacing w:w="15" w:type="dxa"/>
        </w:trPr>
        <w:tc>
          <w:tcPr>
            <w:tcW w:w="0" w:type="auto"/>
            <w:vAlign w:val="center"/>
            <w:hideMark/>
          </w:tcPr>
          <w:p w14:paraId="33A73ED0" w14:textId="77777777" w:rsidR="00161115" w:rsidRPr="00161115" w:rsidRDefault="00161115" w:rsidP="00161115">
            <w:pPr>
              <w:rPr>
                <w:lang w:val="en-IN"/>
              </w:rPr>
            </w:pPr>
            <w:r w:rsidRPr="00161115">
              <w:rPr>
                <w:lang w:val="en-IN"/>
              </w:rPr>
              <w:t>Operational Resilience</w:t>
            </w:r>
          </w:p>
        </w:tc>
        <w:tc>
          <w:tcPr>
            <w:tcW w:w="0" w:type="auto"/>
            <w:vAlign w:val="center"/>
            <w:hideMark/>
          </w:tcPr>
          <w:p w14:paraId="3221784C" w14:textId="77777777" w:rsidR="00161115" w:rsidRPr="00161115" w:rsidRDefault="00161115" w:rsidP="00161115">
            <w:pPr>
              <w:rPr>
                <w:lang w:val="en-IN"/>
              </w:rPr>
            </w:pPr>
            <w:r w:rsidRPr="00161115">
              <w:rPr>
                <w:lang w:val="en-IN"/>
              </w:rPr>
              <w:t>Strong</w:t>
            </w:r>
          </w:p>
        </w:tc>
        <w:tc>
          <w:tcPr>
            <w:tcW w:w="0" w:type="auto"/>
            <w:vAlign w:val="center"/>
            <w:hideMark/>
          </w:tcPr>
          <w:p w14:paraId="4910C111" w14:textId="77777777" w:rsidR="00161115" w:rsidRPr="00161115" w:rsidRDefault="00161115" w:rsidP="00161115">
            <w:pPr>
              <w:rPr>
                <w:lang w:val="en-IN"/>
              </w:rPr>
            </w:pPr>
            <w:r w:rsidRPr="00161115">
              <w:rPr>
                <w:lang w:val="en-IN"/>
              </w:rPr>
              <w:t>System adapted to demand fluctuations</w:t>
            </w:r>
          </w:p>
        </w:tc>
      </w:tr>
    </w:tbl>
    <w:p w14:paraId="769E88E7" w14:textId="77777777" w:rsidR="00161115" w:rsidRPr="00161115" w:rsidRDefault="00161115" w:rsidP="00161115">
      <w:pPr>
        <w:rPr>
          <w:lang w:val="en-IN"/>
        </w:rPr>
      </w:pPr>
      <w:r w:rsidRPr="00161115">
        <w:rPr>
          <w:lang w:val="en-IN"/>
        </w:rPr>
        <w:pict w14:anchorId="30F4FA2F">
          <v:rect id="_x0000_i1071" style="width:0;height:1.5pt" o:hralign="center" o:hrstd="t" o:hr="t" fillcolor="#a0a0a0" stroked="f"/>
        </w:pict>
      </w:r>
    </w:p>
    <w:p w14:paraId="31EF0238" w14:textId="77777777" w:rsidR="00161115" w:rsidRPr="00161115" w:rsidRDefault="00161115" w:rsidP="00161115">
      <w:pPr>
        <w:rPr>
          <w:lang w:val="en-IN"/>
        </w:rPr>
      </w:pPr>
      <w:r w:rsidRPr="00161115">
        <w:rPr>
          <w:lang w:val="en-IN"/>
        </w:rPr>
        <w:t>The KPI summary demonstrates that the UAC care system maintained overall operational stability throughout the study period. Although temporary periods of elevated demand were observed, discharge activity consistently exceeded incoming transfers, resulting in declining backlog pressure and sustainable care load management. The average system load of 6,232 children and peak load of 11,762 children highlight the scale of federal responsibility managed through the UAC program. Overall, the findings suggest that sponsor reunification processes played a critical role in maintaining system resilience and preventing prolonged capacity strain.</w:t>
      </w:r>
    </w:p>
    <w:p w14:paraId="0F78FA6D" w14:textId="11CB1E3E" w:rsidR="00161115" w:rsidRPr="00161115" w:rsidRDefault="00161115" w:rsidP="00161115"/>
    <w:sectPr w:rsidR="00161115" w:rsidRPr="001611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5C87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2055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D69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9547705">
    <w:abstractNumId w:val="0"/>
  </w:num>
  <w:num w:numId="2" w16cid:durableId="894512571">
    <w:abstractNumId w:val="1"/>
  </w:num>
  <w:num w:numId="3" w16cid:durableId="364600535">
    <w:abstractNumId w:val="1"/>
  </w:num>
  <w:num w:numId="4" w16cid:durableId="486363797">
    <w:abstractNumId w:val="1"/>
  </w:num>
  <w:num w:numId="5" w16cid:durableId="1476414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8728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7117807">
    <w:abstractNumId w:val="1"/>
  </w:num>
  <w:num w:numId="8" w16cid:durableId="790250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0D99"/>
    <w:rsid w:val="00161115"/>
    <w:rsid w:val="00400D99"/>
    <w:rsid w:val="004B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05FD"/>
  <w15:docId w15:val="{1FF92170-6003-4FD6-9D99-CA67071E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1748</Words>
  <Characters>12064</Characters>
  <Application>Microsoft Office Word</Application>
  <DocSecurity>0</DocSecurity>
  <Lines>317</Lines>
  <Paragraphs>230</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Nibhisha SK</cp:lastModifiedBy>
  <cp:revision>2</cp:revision>
  <dcterms:created xsi:type="dcterms:W3CDTF">2026-06-10T16:22:00Z</dcterms:created>
  <dcterms:modified xsi:type="dcterms:W3CDTF">2026-06-10T16:31:00Z</dcterms:modified>
</cp:coreProperties>
</file>