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(MSA-2026-X94)</w:t>
      </w:r>
    </w:p>
    <w:p>
      <w:r>
        <w:t xml:space="preserve">This Master Services Agreement ("Agreement") is entered into as of January 15, 2026 ("Effective Date"), by and between </w:t>
      </w:r>
      <w:r>
        <w:rPr>
          <w:b/>
        </w:rPr>
        <w:t>CloudScale Enterprise Solutions Inc.</w:t>
      </w:r>
      <w:r>
        <w:t xml:space="preserve">, a Delaware corporation with its principal office at 400 Tech Parkway, Suite 800, San Francisco, CA 94107 ("Service Provider"), and </w:t>
      </w:r>
      <w:r>
        <w:rPr>
          <w:b/>
        </w:rPr>
        <w:t>Apex Global Financial Group LLC</w:t>
      </w:r>
      <w:r>
        <w:t>, a New York limited liability company with its principal office at 120 Wall Street, 22nd Floor, New York, NY 10005 ("Customer").</w:t>
      </w:r>
    </w:p>
    <w:p>
      <w:pPr>
        <w:pStyle w:val="Heading1"/>
      </w:pPr>
      <w:r>
        <w:t>Section 1: Scope of Services</w:t>
      </w:r>
    </w:p>
    <w:p>
      <w:r>
        <w:t>1.1 Services. Service Provider agrees to provide Customer with enterprise cloud infrastructure, hybrid retrieval-augmented AI search capabilities, managed vector database indexing, and related support services (the "Services") as set forth in one or more Statements of Work ("SOW").</w:t>
      </w:r>
    </w:p>
    <w:p>
      <w:r>
        <w:t>1.2 Security and Compliance. Service Provider shall maintain administrative, physical, and technical safeguards. Service Provider guarantees SOC 2 Type II compliance, ISO/IEC 27001 certification, and compliance with GDPR.</w:t>
      </w:r>
    </w:p>
    <w:p>
      <w:pPr>
        <w:pStyle w:val="Heading1"/>
      </w:pPr>
      <w:r>
        <w:t>Section 2: Fees and Payment Terms</w:t>
      </w:r>
    </w:p>
    <w:p>
      <w:r>
        <w:t>2.1 Platform Subscription Fee. Customer shall pay an annual base platform fee of $240,000, payable in advance in equal quarterly installments of $60,000 on the first day of each calendar quarter.</w:t>
      </w:r>
    </w:p>
    <w:p>
      <w:r>
        <w:t>2.2 Consumption Charges. Dedicated vector query nodes and embedding compute units exceeding 100,000,000 tokens per billing cycle shall be billed at $0.00015 per 1,000 tokens.</w:t>
      </w:r>
    </w:p>
    <w:p>
      <w:r>
        <w:t>2.3 Invoicing and Payment Terms. All invoices are due and payable within forty-five (45) days of the invoice date ("Net 45"). Past-due amounts accrue interest at 1.5% per month.</w:t>
      </w:r>
    </w:p>
    <w:p>
      <w:pPr>
        <w:pStyle w:val="Heading1"/>
      </w:pPr>
      <w:r>
        <w:t>Section 3: Service Level Agreement (SLA)</w:t>
      </w:r>
    </w:p>
    <w:p>
      <w:r>
        <w:t>3.1 System Availability. Service Provider commits to achieving a Monthly Uptime Percentage of not less than 99.95% ("Availability Commitment").</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 Level</w:t>
            </w:r>
          </w:p>
        </w:tc>
        <w:tc>
          <w:tcPr>
            <w:tcW w:type="dxa" w:w="2880"/>
          </w:tcPr>
          <w:p>
            <w:r>
              <w:t>Target Response Time</w:t>
            </w:r>
          </w:p>
        </w:tc>
        <w:tc>
          <w:tcPr>
            <w:tcW w:type="dxa" w:w="2880"/>
          </w:tcPr>
          <w:p>
            <w:r>
              <w:t>Target Resolution Time</w:t>
            </w:r>
          </w:p>
        </w:tc>
      </w:tr>
      <w:tr>
        <w:tc>
          <w:tcPr>
            <w:tcW w:type="dxa" w:w="2880"/>
          </w:tcPr>
          <w:p>
            <w:r>
              <w:t>Severity 1 (Critical Outage)</w:t>
            </w:r>
          </w:p>
        </w:tc>
        <w:tc>
          <w:tcPr>
            <w:tcW w:type="dxa" w:w="2880"/>
          </w:tcPr>
          <w:p>
            <w:r>
              <w:t>15 minutes</w:t>
            </w:r>
          </w:p>
        </w:tc>
        <w:tc>
          <w:tcPr>
            <w:tcW w:type="dxa" w:w="2880"/>
          </w:tcPr>
          <w:p>
            <w:r>
              <w:t>2 hours</w:t>
            </w:r>
          </w:p>
        </w:tc>
      </w:tr>
      <w:tr>
        <w:tc>
          <w:tcPr>
            <w:tcW w:type="dxa" w:w="2880"/>
          </w:tcPr>
          <w:p>
            <w:r>
              <w:t>Severity 2 (Major Degradation)</w:t>
            </w:r>
          </w:p>
        </w:tc>
        <w:tc>
          <w:tcPr>
            <w:tcW w:type="dxa" w:w="2880"/>
          </w:tcPr>
          <w:p>
            <w:r>
              <w:t>1 hour</w:t>
            </w:r>
          </w:p>
        </w:tc>
        <w:tc>
          <w:tcPr>
            <w:tcW w:type="dxa" w:w="2880"/>
          </w:tcPr>
          <w:p>
            <w:r>
              <w:t>8 hours</w:t>
            </w:r>
          </w:p>
        </w:tc>
      </w:tr>
      <w:tr>
        <w:tc>
          <w:tcPr>
            <w:tcW w:type="dxa" w:w="2880"/>
          </w:tcPr>
          <w:p>
            <w:r>
              <w:t>Severity 3 (Minor Defect)</w:t>
            </w:r>
          </w:p>
        </w:tc>
        <w:tc>
          <w:tcPr>
            <w:tcW w:type="dxa" w:w="2880"/>
          </w:tcPr>
          <w:p>
            <w:r>
              <w:t>4 hours</w:t>
            </w:r>
          </w:p>
        </w:tc>
        <w:tc>
          <w:tcPr>
            <w:tcW w:type="dxa" w:w="2880"/>
          </w:tcPr>
          <w:p>
            <w:r>
              <w:t>2 business days</w:t>
            </w:r>
          </w:p>
        </w:tc>
      </w:tr>
    </w:tbl>
    <w:p>
      <w:pPr>
        <w:pStyle w:val="Heading1"/>
      </w:pPr>
      <w:r>
        <w:t>Section 4: Data Privacy and AI Governance</w:t>
      </w:r>
    </w:p>
    <w:p>
      <w:r>
        <w:t>4.1 Ownership of Customer Data. Customer retains sole and exclusive ownership of all Customer Data, embeddings, and query logs.</w:t>
      </w:r>
    </w:p>
    <w:p>
      <w:r>
        <w:t>4.2 Model Training Prohibition. Service Provider warrants that Customer Data, queries, and document chunks shall never be used to train, retrain, fine-tune, or benchmark public foundation models or third-party artificial intelligence systems.</w:t>
      </w:r>
    </w:p>
    <w:p>
      <w:pPr>
        <w:pStyle w:val="Heading1"/>
      </w:pPr>
      <w:r>
        <w:t>Section 5: Limitation of Liability</w:t>
      </w:r>
    </w:p>
    <w:p>
      <w:r>
        <w:t>5.1 Total Liability Cap. Each Party's maximum aggregate cumulative liability under this Agreement shall be capped at the total amount actually paid by Customer in the twelve (12) months preceding the claim, not to exceed $2,500,000 ("Aggregate Liability Cap").</w:t>
      </w:r>
    </w:p>
    <w:p>
      <w:r>
        <w:t>5.2 Consequential Damages. In no event shall either Party be liable for indirect, incidental, punitive, or consequential damages.</w:t>
      </w:r>
    </w:p>
    <w:p>
      <w:pPr>
        <w:pStyle w:val="Heading1"/>
      </w:pPr>
      <w:r>
        <w:t>Section 6: Term and Termination</w:t>
      </w:r>
    </w:p>
    <w:p>
      <w:r>
        <w:t>6.1 Term. This Agreement commences on the Effective Date and continues for an initial period of thirty-six (36) months ("Initial Term").</w:t>
      </w:r>
    </w:p>
    <w:p>
      <w:r>
        <w:t>6.2 Termination for Convenience. Customer may terminate this Agreement without cause upon ninety (90) days advance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