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4E79"/>
          <w:sz w:val="22"/>
        </w:rPr>
        <w:t>VERAPAY</w:t>
      </w:r>
    </w:p>
    <w:p>
      <w:pPr>
        <w:pStyle w:val="Title"/>
        <w:jc w:val="center"/>
      </w:pPr>
      <w:r>
        <w:t>Customer Microservice</w:t>
        <w:br/>
        <w:t>Requirements Specification</w:t>
      </w:r>
    </w:p>
    <w:p>
      <w:pPr>
        <w:pStyle w:val="Subtitle"/>
        <w:jc w:val="center"/>
      </w:pPr>
      <w:r>
        <w:t>Mobile Money Wallet Microservices Platform</w:t>
      </w:r>
    </w:p>
    <w:p>
      <w:pPr>
        <w:spacing w:before="1100"/>
        <w:jc w:val="center"/>
      </w:pPr>
      <w:r>
        <w:rPr>
          <w:rFonts w:ascii="Arial" w:hAnsi="Arial"/>
          <w:color w:val="596775"/>
          <w:sz w:val="21"/>
        </w:rPr>
        <w:t>Version 1.0</w:t>
        <w:br/>
        <w:t>25 September 2026</w:t>
      </w:r>
    </w:p>
    <w:tbl>
      <w:tblPr>
        <w:tblW w:type="auto" w:w="0"/>
        <w:jc w:val="center"/>
        <w:tblLayout w:type="fixed"/>
        <w:tblLook w:firstColumn="1" w:firstRow="1" w:lastColumn="0" w:lastRow="0" w:noHBand="0" w:noVBand="1" w:val="04A0"/>
      </w:tblPr>
      <w:tblGrid>
        <w:gridCol w:w="8496"/>
      </w:tblGrid>
      <w:tr>
        <w:tc>
          <w:tcPr>
            <w:tcW w:type="dxa" w:w="10080"/>
            <w:shd w:fill="D9EAF7"/>
            <w:tcBorders>
              <w:top w:val="single" w:sz="6" w:color="9FC5E8"/>
              <w:left w:val="single" w:sz="6" w:color="9FC5E8"/>
              <w:bottom w:val="single" w:sz="6" w:color="9FC5E8"/>
              <w:right w:val="single" w:sz="6" w:color="9FC5E8"/>
              <w:insideH w:val="single" w:sz="6" w:color="9FC5E8"/>
              <w:insideV w:val="single" w:sz="6" w:color="9FC5E8"/>
            </w:tcBorders>
            <w:tcMar>
              <w:top w:w="180" w:type="dxa"/>
              <w:start w:w="200" w:type="dxa"/>
              <w:bottom w:w="180" w:type="dxa"/>
              <w:end w:w="200" w:type="dxa"/>
            </w:tcMar>
          </w:tcPr>
          <w:p>
            <w:pPr>
              <w:jc w:val="center"/>
            </w:pPr>
            <w:r>
              <w:rPr>
                <w:rFonts w:ascii="Arial" w:hAnsi="Arial"/>
                <w:b/>
                <w:color w:val="17365D"/>
                <w:sz w:val="21"/>
              </w:rPr>
              <w:t>Purpose</w:t>
            </w:r>
          </w:p>
          <w:p>
            <w:pPr>
              <w:spacing w:after="0"/>
              <w:jc w:val="center"/>
            </w:pPr>
            <w:r>
              <w:t>Define the customer domain capabilities, quality attributes, service boundaries, and delivery priorities for implementation and acceptance testing.</w:t>
            </w:r>
          </w:p>
        </w:tc>
      </w:tr>
    </w:tbl>
    <w:p>
      <w:r>
        <w:br w:type="page"/>
      </w:r>
    </w:p>
    <w:p>
      <w:pPr>
        <w:pStyle w:val="Heading1"/>
      </w:pPr>
      <w:r>
        <w:t>Purpose and scope</w:t>
      </w:r>
    </w:p>
    <w:p>
      <w:r>
        <w:t>This specification defines the functional and non-functional requirements for the Customer Microservice in the VeraPay mobile money wallet platform. It provides a baseline for architecture, implementation, security review, integration testing, and acceptance testing.</w:t>
      </w:r>
    </w:p>
    <w:p>
      <w:r>
        <w:t>Keycloak is the identity and access-management authority. The Customer Microservice does not store passwords or authenticate users. It owns the business profile linked to a Keycloak subject, together with contact information, addresses, KYC records, consent, transaction limits, lifecycle state, and customer-domain events.</w:t>
      </w:r>
    </w:p>
    <w:p>
      <w:pPr>
        <w:pStyle w:val="Heading2"/>
      </w:pPr>
      <w:r>
        <w:t>Service responsibility summary</w:t>
      </w:r>
    </w:p>
    <w:tbl>
      <w:tblPr>
        <w:tblW w:type="auto" w:w="0"/>
        <w:jc w:val="center"/>
        <w:tblLayout w:type="fixed"/>
        <w:tblLook w:firstColumn="1" w:firstRow="1" w:lastColumn="0" w:lastRow="0" w:noHBand="0" w:noVBand="1" w:val="04A0"/>
      </w:tblPr>
      <w:tblGrid>
        <w:gridCol w:w="4925"/>
        <w:gridCol w:w="4925"/>
      </w:tblGrid>
      <w:t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Pr>
          <w:p>
            <w:r>
              <w:rPr>
                <w:rFonts w:ascii="Arial" w:hAnsi="Arial"/>
                <w:b/>
                <w:color w:val="FFFFFF"/>
                <w:sz w:val="19"/>
              </w:rPr>
              <w:t>Customer Service owns</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Pr>
          <w:p>
            <w:r>
              <w:rPr>
                <w:rFonts w:ascii="Arial" w:hAnsi="Arial"/>
                <w:b/>
                <w:color w:val="FFFFFF"/>
                <w:sz w:val="19"/>
              </w:rPr>
              <w:t>Customer Service does not own</w:t>
            </w:r>
          </w:p>
        </w:tc>
      </w:tr>
      <w:tr>
        <w:tc>
          <w:tcPr>
            <w:tcW w:type="dxa" w:w="4925"/>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 Customer business profiles</w:t>
            </w:r>
          </w:p>
        </w:tc>
        <w:tc>
          <w:tcPr>
            <w:tcW w:type="dxa" w:w="4925"/>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 Passwords, login sessions, MFA, or token issuance</w:t>
            </w:r>
          </w:p>
        </w:tc>
      </w:tr>
      <w:tr>
        <w:tc>
          <w:tcPr>
            <w:tcW w:type="dxa" w:w="4925"/>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 Contact methods and addresses</w:t>
            </w:r>
          </w:p>
        </w:tc>
        <w:tc>
          <w:tcPr>
            <w:tcW w:type="dxa" w:w="4925"/>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 Wallet balances or ledger entries</w:t>
            </w:r>
          </w:p>
        </w:tc>
      </w:tr>
      <w:tr>
        <w:tc>
          <w:tcPr>
            <w:tcW w:type="dxa" w:w="4925"/>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 KYC submissions and verification state</w:t>
            </w:r>
          </w:p>
        </w:tc>
        <w:tc>
          <w:tcPr>
            <w:tcW w:type="dxa" w:w="4925"/>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 Deposits, withdrawals, or transfers</w:t>
            </w:r>
          </w:p>
        </w:tc>
      </w:tr>
      <w:tr>
        <w:tc>
          <w:tcPr>
            <w:tcW w:type="dxa" w:w="4925"/>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 Customer status and eligibility</w:t>
            </w:r>
          </w:p>
        </w:tc>
        <w:tc>
          <w:tcPr>
            <w:tcW w:type="dxa" w:w="4925"/>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 Transaction fraud decisions</w:t>
            </w:r>
          </w:p>
        </w:tc>
      </w:tr>
      <w:tr>
        <w:tc>
          <w:tcPr>
            <w:tcW w:type="dxa" w:w="4925"/>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 Consent history</w:t>
            </w:r>
          </w:p>
        </w:tc>
        <w:tc>
          <w:tcPr>
            <w:tcW w:type="dxa" w:w="4925"/>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 Notification delivery</w:t>
            </w:r>
          </w:p>
        </w:tc>
      </w:tr>
      <w:tr>
        <w:tc>
          <w:tcPr>
            <w:tcW w:type="dxa" w:w="4925"/>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 Customer-level limits</w:t>
            </w:r>
          </w:p>
        </w:tc>
        <w:tc>
          <w:tcPr>
            <w:tcW w:type="dxa" w:w="4925"/>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 M-Pesa integration</w:t>
            </w:r>
          </w:p>
        </w:tc>
      </w:tr>
      <w:tr>
        <w:tc>
          <w:tcPr>
            <w:tcW w:type="dxa" w:w="4925"/>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 Customer-domain events</w:t>
            </w:r>
          </w:p>
        </w:tc>
        <w:tc>
          <w:tcPr>
            <w:tcW w:type="dxa" w:w="4925"/>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r>
          </w:p>
        </w:tc>
      </w:tr>
    </w:tbl>
    <w:p>
      <w:r>
        <w:br w:type="page"/>
      </w:r>
    </w:p>
    <w:p>
      <w:pPr>
        <w:pStyle w:val="Heading1"/>
      </w:pPr>
      <w:r>
        <w:t>Functional requirements</w:t>
      </w:r>
    </w:p>
    <w:p>
      <w:r>
        <w:t>The following requirements describe the externally observable capabilities of the Customer Microservice. Requirement identifiers are stable references for design decisions, implementation tasks, and tests.</w:t>
      </w:r>
    </w:p>
    <w:p>
      <w:pPr>
        <w:pStyle w:val="Heading2"/>
      </w:pPr>
      <w:r>
        <w:t>Customer onboarding</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FR-01</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Create a customer profile for an authenticated Keycloak user.</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FR-02</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Obtain the Keycloak user identifier from the JWT subject (sub) claim; do not accept it from the request body.</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FR-03</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Prevent more than one customer profile from being associated with the same Keycloak user identifier.</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FR-04</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Generate a unique, human-readable public customer number, for example CUS-2026-000145.</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FR-05</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Set a newly created customer profile to PENDING until required verification and activation rules are satisfied.</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FR-06</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Capture legal name, date of birth, nationality, and preferred language.</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FR-07</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Reject incomplete or invalid onboarding data with clear, field-level validation errors.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FR-08</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Enforce the configured minimum customer age.</w:t>
            </w:r>
          </w:p>
        </w:tc>
      </w:tr>
    </w:tbl>
    <w:p>
      <w:pPr>
        <w:spacing w:after="0"/>
      </w:pPr>
    </w:p>
    <w:p>
      <w:pPr>
        <w:pStyle w:val="Heading2"/>
      </w:pPr>
      <w:r>
        <w:t>Profile management</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FR-09</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Allow a customer to retrieve their own profile.</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FR-10</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Allow authorized staff to retrieve a customer profile by internal identifier or public customer number.</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FR-11</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Allow permitted profile fields, such as preferred name and language, to be updated.</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FR-12</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Protect sensitive or verified fields from direct self-service changes when review is required.</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FR-13</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Record who changed the profile, what changed, and when it changed.</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FR-14</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Expose profile-completion status so the client can guide the customer through outstanding steps.</w:t>
            </w:r>
          </w:p>
        </w:tc>
      </w:tr>
    </w:tbl>
    <w:p>
      <w:pPr>
        <w:spacing w:after="0"/>
      </w:pPr>
    </w:p>
    <w:p>
      <w:pPr>
        <w:pStyle w:val="Heading2"/>
      </w:pPr>
      <w:r>
        <w:t>Contact information</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FR-15</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Store one or more customer contact methods, including mobile phone numbers and email addresses.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FR-16</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Support a primary phone number and an optional primary email address.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FR-17</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Normalize phone numbers to E.164 format before storage.</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FR-18</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Prevent duplicate contact records where uniqueness is required.</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FR-19</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Track whether each phone number or email address has been verified.</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FR-20</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Allow verified contact methods to be replaced only through an approved verification process.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FR-21</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Publish an event when the primary phone number or email address changes.</w:t>
            </w:r>
          </w:p>
        </w:tc>
      </w:tr>
    </w:tbl>
    <w:p>
      <w:pPr>
        <w:spacing w:after="0"/>
      </w:pPr>
    </w:p>
    <w:p>
      <w:pPr>
        <w:pStyle w:val="Heading2"/>
      </w:pPr>
      <w:r>
        <w:t>Address management</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FR-22</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Create, retrieve, update, and deactivate customer addresses.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FR-23</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Support address types such as residential and postal.</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FR-24</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Allow one address to be designated as the primary address.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FR-25</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Preserve address history when compliance or auditing rules require it.</w:t>
            </w:r>
          </w:p>
        </w:tc>
      </w:tr>
    </w:tbl>
    <w:p>
      <w:pPr>
        <w:spacing w:after="0"/>
      </w:pPr>
    </w:p>
    <w:p>
      <w:pPr>
        <w:pStyle w:val="Heading2"/>
      </w:pPr>
      <w:r>
        <w:t>KYC management</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FR-26</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Create and maintain a KYC profile for each customer.</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FR-27</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Capture identification type, identification number, issuing country, issue date, and expiry date where applicable.</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FR-28</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Support configured identity document types, such as national ID, passport, and alien identification card.</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FR-29</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Store document metadata and a secure reference to document storage rather than embedding document binaries in the customer database.</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FR-30</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Track KYC states: NOT_STARTED, PENDING, VERIFIED, REJECTED, and EXPIRED.</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FR-31</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Allow a customer to submit KYC information for verification.</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FR-32</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Prevent submitted KYC records from being silently modified while verification is in progress.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FR-33</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Allow an authorized compliance officer or trusted verification integration to approve or reject a KYC submission.</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FR-34</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Require and record a rejection reason when KYC is rejected.</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FR-35</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Record the verifier, verification method, and verification timestamp.</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FR-36</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Detect expired identity documents and update eligibility according to policy.</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FR-37</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Publish events when KYC is submitted, verified, rejected, or expired.</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FR-38</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Prevent activation of a customer who does not meet the configured KYC requirement.</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FR-39</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Support resubmission after rejection while retaining the historical decision record.</w:t>
            </w:r>
          </w:p>
        </w:tc>
      </w:tr>
    </w:tbl>
    <w:p>
      <w:pPr>
        <w:spacing w:after="0"/>
      </w:pPr>
    </w:p>
    <w:p>
      <w:pPr>
        <w:pStyle w:val="Heading2"/>
      </w:pPr>
      <w:r>
        <w:t>Customer lifecycle and status</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FR-40</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Manage customer status using PENDING, ACTIVE, SUSPENDED, BLOCKED, and CLOSED.</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FR-41</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Activate a customer only after mandatory profile, contact-verification, and KYC checks pass.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FR-42</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Allow authorized staff or trusted risk workflows to suspend or block a customer with a recorded reason.</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FR-43</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Allow an authorized operator to restore an eligible suspended customer.</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FR-44</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Close a customer only after external checks confirm that wallet and regulatory obligations permit closure.</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FR-45</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Publish an event for every customer status change.</w:t>
            </w:r>
          </w:p>
        </w:tc>
      </w:tr>
    </w:tbl>
    <w:p>
      <w:pPr>
        <w:spacing w:after="0"/>
      </w:pPr>
    </w:p>
    <w:p>
      <w:pPr>
        <w:keepLines/>
      </w:pPr>
      <w:r>
        <w:rPr>
          <w:rFonts w:ascii="Arial" w:hAnsi="Arial"/>
          <w:b/>
          <w:color w:val="17365D"/>
        </w:rPr>
        <w:t xml:space="preserve">Permitted lifecycle model: </w:t>
      </w:r>
      <w:r>
        <w:t>PENDING → ACTIVE; ACTIVE ↔ SUSPENDED; ACTIVE or SUSPENDED → BLOCKED; eligible states → CLOSED. Every transition requires an authorized actor, reason where applicable, and an audit record.</w:t>
      </w:r>
    </w:p>
    <w:p>
      <w:pPr>
        <w:pStyle w:val="Heading2"/>
      </w:pPr>
      <w:r>
        <w:t>Customer limits</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FR-46</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Assign a transaction-limit tier based on customer status, KYC level, risk policy, or product configuration.</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FR-47</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Expose the customer’s applicable per-transaction, daily, and monthly limits to authorized services.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FR-48</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Support separate limits for deposit, withdrawal, transfer, and wallet balance where required.</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FR-49</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Maintain effective dates for limit assignments.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FR-50</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Permit only authorized roles or policy workflows to change a customer’s limit tier.</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FR-51</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Record a reason and audit entry for every limit change.</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FR-52</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Publish an event when a customer’s limit tier changes.</w:t>
            </w:r>
          </w:p>
        </w:tc>
      </w:tr>
    </w:tbl>
    <w:p>
      <w:pPr>
        <w:spacing w:after="0"/>
      </w:pPr>
    </w:p>
    <w:p>
      <w:pPr>
        <w:pStyle w:val="Heading2"/>
      </w:pPr>
      <w:r>
        <w:t>Consent and preferences</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FR-53</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Record customer acceptance of terms, privacy notices, and other required agreements.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FR-54</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Store the exact policy version accepted, acceptance timestamp, channel, and available request evidence.</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FR-55</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Support optional marketing consent separately from mandatory service consent.</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FR-56</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Allow withdrawal of optional consent without deleting the historical consent record.</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FR-57</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Expose current consent state to authorized clients and services.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FR-58</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Prevent activation or restricted actions when mandatory consent is absent.</w:t>
            </w:r>
          </w:p>
        </w:tc>
      </w:tr>
    </w:tbl>
    <w:p>
      <w:pPr>
        <w:spacing w:after="0"/>
      </w:pPr>
    </w:p>
    <w:p>
      <w:pPr>
        <w:pStyle w:val="Heading2"/>
      </w:pPr>
      <w:r>
        <w:t>Domain events</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FR-59</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Publish customer-domain events to Kafka for relevant state changes.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FR-60</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Include an event identifier, event type, version, timestamp, customer identifier, correlation identifier, and non-sensitive payload.</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FR-61</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Use the transactional outbox pattern so database changes and event publication remain consistent.</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FR-62</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Make event publication retryable without creating duplicate logical events.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FR-63</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Do not include identity document numbers or unnecessary personally identifiable information in events.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FR-64</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Version event schemas so consumers can evolve independently.</w:t>
            </w:r>
          </w:p>
        </w:tc>
      </w:tr>
    </w:tbl>
    <w:p>
      <w:pPr>
        <w:spacing w:after="0"/>
      </w:pPr>
    </w:p>
    <w:p>
      <w:r>
        <w:rPr>
          <w:rFonts w:ascii="Arial" w:hAnsi="Arial"/>
          <w:b/>
          <w:color w:val="17365D"/>
        </w:rPr>
        <w:t>Initial event catalogue</w:t>
      </w:r>
    </w:p>
    <w:p>
      <w:pPr>
        <w:pStyle w:val="ListBullet"/>
        <w:spacing w:after="40"/>
      </w:pPr>
      <w:r>
        <w:t>customer.registered.v1</w:t>
      </w:r>
    </w:p>
    <w:p>
      <w:pPr>
        <w:pStyle w:val="ListBullet"/>
        <w:spacing w:after="40"/>
      </w:pPr>
      <w:r>
        <w:t>customer.activated.v1</w:t>
      </w:r>
    </w:p>
    <w:p>
      <w:pPr>
        <w:pStyle w:val="ListBullet"/>
        <w:spacing w:after="40"/>
      </w:pPr>
      <w:r>
        <w:t>customer.suspended.v1</w:t>
      </w:r>
    </w:p>
    <w:p>
      <w:pPr>
        <w:pStyle w:val="ListBullet"/>
        <w:spacing w:after="40"/>
      </w:pPr>
      <w:r>
        <w:t>customer.blocked.v1</w:t>
      </w:r>
    </w:p>
    <w:p>
      <w:pPr>
        <w:pStyle w:val="ListBullet"/>
        <w:spacing w:after="40"/>
      </w:pPr>
      <w:r>
        <w:t>customer.closed.v1</w:t>
      </w:r>
    </w:p>
    <w:p>
      <w:pPr>
        <w:pStyle w:val="ListBullet"/>
        <w:spacing w:after="40"/>
      </w:pPr>
      <w:r>
        <w:t>customer.kyc.submitted.v1</w:t>
      </w:r>
    </w:p>
    <w:p>
      <w:pPr>
        <w:pStyle w:val="ListBullet"/>
        <w:spacing w:after="40"/>
      </w:pPr>
      <w:r>
        <w:t>customer.kyc.verified.v1</w:t>
      </w:r>
    </w:p>
    <w:p>
      <w:pPr>
        <w:pStyle w:val="ListBullet"/>
        <w:spacing w:after="40"/>
      </w:pPr>
      <w:r>
        <w:t>customer.kyc.rejected.v1</w:t>
      </w:r>
    </w:p>
    <w:p>
      <w:pPr>
        <w:pStyle w:val="ListBullet"/>
        <w:spacing w:after="40"/>
      </w:pPr>
      <w:r>
        <w:t>customer.limit.changed.v1</w:t>
      </w:r>
    </w:p>
    <w:p>
      <w:pPr>
        <w:pStyle w:val="Heading2"/>
      </w:pPr>
      <w:r>
        <w:t>Authentication and authorization</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FR-65</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Accept only valid access tokens issued by the configured Keycloak realm.</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FR-66</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Authorize each endpoint using scopes, roles, and ownership checks.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FR-67</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Allow a customer to access only their own records unless an explicitly authorized administrative role is present.</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FR-68</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Restrict KYC decisions, status changes, and limit changes to appropriate staff or service roles.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FR-69</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Return HTTP 401 for missing or invalid authentication and HTTP 403 for authenticated callers lacking permission.</w:t>
            </w:r>
          </w:p>
        </w:tc>
      </w:tr>
    </w:tbl>
    <w:p>
      <w:pPr>
        <w:spacing w:after="0"/>
      </w:pPr>
    </w:p>
    <w:p>
      <w:r>
        <w:rPr>
          <w:rFonts w:ascii="Arial" w:hAnsi="Arial"/>
          <w:b/>
          <w:color w:val="17365D"/>
        </w:rPr>
        <w:t>Suggested Keycloak roles</w:t>
      </w:r>
    </w:p>
    <w:p>
      <w:pPr>
        <w:pStyle w:val="ListBullet"/>
        <w:spacing w:after="40"/>
      </w:pPr>
      <w:r>
        <w:t>CUSTOMER — self-service access to the authenticated customer’s own data.</w:t>
      </w:r>
    </w:p>
    <w:p>
      <w:pPr>
        <w:pStyle w:val="ListBullet"/>
        <w:spacing w:after="40"/>
      </w:pPr>
      <w:r>
        <w:t>CUSTOMER_SUPPORT — limited lookup and support actions with masked sensitive data.</w:t>
      </w:r>
    </w:p>
    <w:p>
      <w:pPr>
        <w:pStyle w:val="ListBullet"/>
        <w:spacing w:after="40"/>
      </w:pPr>
      <w:r>
        <w:t>KYC_OFFICER — review and decide KYC submissions.</w:t>
      </w:r>
    </w:p>
    <w:p>
      <w:pPr>
        <w:pStyle w:val="ListBullet"/>
        <w:spacing w:after="40"/>
      </w:pPr>
      <w:r>
        <w:t>COMPLIANCE_OFFICER — compliance review, blocking, and approved investigations.</w:t>
      </w:r>
    </w:p>
    <w:p>
      <w:pPr>
        <w:pStyle w:val="ListBullet"/>
        <w:spacing w:after="40"/>
      </w:pPr>
      <w:r>
        <w:t>CUSTOMER_ADMIN — controlled customer administration.</w:t>
      </w:r>
    </w:p>
    <w:p>
      <w:pPr>
        <w:pStyle w:val="ListBullet"/>
        <w:spacing w:after="40"/>
      </w:pPr>
      <w:r>
        <w:t>SERVICE — authenticated service-to-service operations with narrow scopes.</w:t>
      </w:r>
    </w:p>
    <w:p>
      <w:pPr>
        <w:pStyle w:val="Heading2"/>
      </w:pPr>
      <w:r>
        <w:t>Search and administration</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FR-70</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Allow authorized staff to search customers using approved identifiers, such as customer number, phone number, or identity-reference hash.</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FR-71</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Provide paginated and sortable administrative search results.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FR-72</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Mask sensitive values in search results according to role.</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FR-73</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Prevent unrestricted bulk export through ordinary search endpoints.</w:t>
            </w:r>
          </w:p>
        </w:tc>
      </w:tr>
    </w:tbl>
    <w:p>
      <w:pPr>
        <w:spacing w:after="0"/>
      </w:pPr>
    </w:p>
    <w:p>
      <w:r>
        <w:br w:type="page"/>
      </w:r>
    </w:p>
    <w:p>
      <w:pPr>
        <w:pStyle w:val="Heading1"/>
      </w:pPr>
      <w:r>
        <w:t>Non functional requirements</w:t>
      </w:r>
    </w:p>
    <w:p>
      <w:r>
        <w:t>These requirements define the quality attributes and operational constraints expected of the Customer Microservice. Numeric performance and availability objectives are initial targets and should be validated through load testing and operational measurement.</w:t>
      </w:r>
    </w:p>
    <w:p>
      <w:pPr>
        <w:pStyle w:val="Heading2"/>
      </w:pPr>
      <w:r>
        <w:t>Security</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NFR-01</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All production endpoints, except approved health probes, shall require authenticated access.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NFR-02</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The service shall validate JWT signature, issuer, expiry, and intended audience or authorized party as configured.</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NFR-03</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Authorization shall follow least privilege and default-deny principles.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NFR-04</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All network traffic shall use TLS in non-local environments.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NFR-05</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Sensitive data shall be encrypted at rest using platform-managed encryption controls.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NFR-06</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Passwords, secrets, private keys, and access tokens shall never be written to application logs.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NFR-07</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Personally identifiable information shall be masked or omitted from logs, metrics, traces, and events.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NFR-08</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Administrative endpoints shall be protected by explicit roles and auditable authorization decisions.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NFR-09</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Input shall be validated and safely handled to prevent injection, mass assignment, and over-posting.</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NFR-10</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Configuration secrets shall be supplied through an approved secret-management mechanism rather than committed source files.</w:t>
            </w:r>
          </w:p>
        </w:tc>
      </w:tr>
    </w:tbl>
    <w:p>
      <w:pPr>
        <w:spacing w:after="0"/>
      </w:pPr>
    </w:p>
    <w:p>
      <w:pPr>
        <w:pStyle w:val="Heading2"/>
      </w:pPr>
      <w:r>
        <w:t>Data integrity and consistency</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NFR-11</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The database shall enforce uniqueness for Keycloak subject identifiers and public customer numbers.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NFR-12</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Database constraints shall protect mandatory fields, valid relationships, and known enumerated states.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NFR-13</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Create and state-changing operations exposed to retrying clients shall support idempotency where duplicate processing would be harmful.</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NFR-14</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Concurrent updates shall use optimistic locking or another explicit concurrency-control strategy.</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NFR-15</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Business state changes shall be transactional within the service boundary.</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NFR-16</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Event publication shall use a transactional outbox or equivalent atomic persistence mechanism.</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NFR-17</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Database timestamps shall be stored in UTC.</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NFR-18</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Schema changes shall be applied through version-controlled Flyway migrations; Hibernate schema generation shall not modify production schemas.</w:t>
            </w:r>
          </w:p>
        </w:tc>
      </w:tr>
    </w:tbl>
    <w:p>
      <w:pPr>
        <w:spacing w:after="0"/>
      </w:pPr>
    </w:p>
    <w:p>
      <w:pPr>
        <w:pStyle w:val="Heading2"/>
      </w:pPr>
      <w:r>
        <w:t>Performance</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NFR-19</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Under normal load, 95% of customer profile reads should complete within 300 ms at the service boundary, excluding gateway and client latency.</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NFR-20</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Under normal load, 95% of customer profile writes should complete within 600 ms, excluding external verification operations.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NFR-21</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Administrative searches shall be paginated and should complete within 1 second for supported indexed queries under normal load.</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NFR-22</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Frequently queried fields, including Keycloak subject, customer number, normalized phone number, and status, shall be indexed appropriately.</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NFR-23</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Database connection pools shall have explicit limits and timeouts to prevent resource exhaustion.</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NFR-24</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Payloads and result sets shall be bounded; APIs shall not return unbounded customer collections.</w:t>
            </w:r>
          </w:p>
        </w:tc>
      </w:tr>
    </w:tbl>
    <w:p>
      <w:pPr>
        <w:spacing w:after="0"/>
      </w:pPr>
    </w:p>
    <w:p>
      <w:pPr>
        <w:pStyle w:val="Heading2"/>
      </w:pPr>
      <w:r>
        <w:t>Availability and resilience</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NFR-25</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The service should target at least 99.9% monthly availability once deployed to production-capable infrastructure.</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NFR-26</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The application shall shut down gracefully so accepted requests can finish within the configured termination period.</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NFR-27</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Readiness and liveness probes shall accurately represent whether the instance can receive traffic and whether it is operational.</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NFR-28</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Calls to external systems shall use bounded timeouts and retries only when the operation is safe to retry.</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NFR-29</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Failures in Kafka publication shall not roll back an already committed customer change when the transactional outbox is used; publication shall resume asynchronously.</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NFR-30</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Consumers shall tolerate duplicate Kafka delivery and process messages idempotently.</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NFR-31</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Database backup and recovery procedures shall be defined and tested for the production environment.</w:t>
            </w:r>
          </w:p>
        </w:tc>
      </w:tr>
    </w:tbl>
    <w:p>
      <w:pPr>
        <w:spacing w:after="0"/>
      </w:pPr>
    </w:p>
    <w:p>
      <w:pPr>
        <w:pStyle w:val="Heading2"/>
      </w:pPr>
      <w:r>
        <w:t>Scalability</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NFR-32</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The service shall be stateless at the HTTP layer so multiple instances can run behind a load balancer.</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NFR-33</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Instances shall not depend on local disk for durable application data.</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NFR-34</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Kafka consumer concurrency and partitioning shall support horizontal scaling without violating ordering assumptions.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NFR-35</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Database indexes and queries shall be reviewed as customer volume grows, using measured query plans and production-like data volumes.</w:t>
            </w:r>
          </w:p>
        </w:tc>
      </w:tr>
    </w:tbl>
    <w:p>
      <w:pPr>
        <w:spacing w:after="0"/>
      </w:pPr>
    </w:p>
    <w:p>
      <w:pPr>
        <w:pStyle w:val="Heading2"/>
      </w:pPr>
      <w:r>
        <w:t>Observability</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NFR-36</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The service shall expose health, metrics, and application information through secured management endpoints.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NFR-37</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Logs shall be structured and include correlation, trace, and request identifiers where available.</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NFR-38</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Distributed tracing shall propagate trace context through HTTP and Kafka interactions.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NFR-39</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Metrics shall cover request rate, latency, errors, database-pool use, Kafka publishing, and outbox backlog.</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NFR-40</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Alerts shall be defined for sustained error rate, unhealthy instances, exhausted connection pools, and growing outbox backlog.</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NFR-41</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Operational telemetry shall not expose document numbers, access tokens, or unnecessary personal data.</w:t>
            </w:r>
          </w:p>
        </w:tc>
      </w:tr>
    </w:tbl>
    <w:p>
      <w:pPr>
        <w:spacing w:after="0"/>
      </w:pPr>
    </w:p>
    <w:p>
      <w:r>
        <w:rPr>
          <w:rFonts w:ascii="Arial" w:hAnsi="Arial"/>
          <w:b/>
          <w:color w:val="17365D"/>
        </w:rPr>
        <w:t>Recommended business metrics</w:t>
      </w:r>
    </w:p>
    <w:p>
      <w:pPr>
        <w:pStyle w:val="ListBullet"/>
        <w:spacing w:after="40"/>
      </w:pPr>
      <w:r>
        <w:t>Customer registrations by outcome</w:t>
      </w:r>
    </w:p>
    <w:p>
      <w:pPr>
        <w:pStyle w:val="ListBullet"/>
        <w:spacing w:after="40"/>
      </w:pPr>
      <w:r>
        <w:t>KYC submissions by outcome and verification method</w:t>
      </w:r>
    </w:p>
    <w:p>
      <w:pPr>
        <w:pStyle w:val="ListBullet"/>
        <w:spacing w:after="40"/>
      </w:pPr>
      <w:r>
        <w:t>Customers by lifecycle status</w:t>
      </w:r>
    </w:p>
    <w:p>
      <w:pPr>
        <w:pStyle w:val="ListBullet"/>
        <w:spacing w:after="40"/>
      </w:pPr>
      <w:r>
        <w:t>Activation completion rate</w:t>
      </w:r>
    </w:p>
    <w:p>
      <w:pPr>
        <w:pStyle w:val="ListBullet"/>
        <w:spacing w:after="40"/>
      </w:pPr>
      <w:r>
        <w:t>Outbox events pending and oldest-event age</w:t>
      </w:r>
    </w:p>
    <w:p>
      <w:pPr>
        <w:pStyle w:val="Heading2"/>
      </w:pPr>
      <w:r>
        <w:t>Audit and compliance</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NFR-42</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Sensitive administrative actions and business status changes shall create immutable audit records.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NFR-43</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Audit records shall capture actor, action, target, timestamp, correlation identifier, and appropriate before-and-after values or change summaries.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NFR-44</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Retention periods for customer, KYC, consent, and audit records shall be configurable according to applicable policy and law.</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NFR-45</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Customer-data deletion or anonymization shall follow approved retention and legal-hold rules rather than uncontrolled hard deletion.</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NFR-46</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Access to sensitive customer information shall be reviewable through audit records.</w:t>
            </w:r>
          </w:p>
        </w:tc>
      </w:tr>
    </w:tbl>
    <w:p>
      <w:pPr>
        <w:spacing w:after="0"/>
      </w:pPr>
    </w:p>
    <w:p>
      <w:pPr>
        <w:pStyle w:val="Heading2"/>
      </w:pPr>
      <w:r>
        <w:t>Maintainability and testability</w:t>
      </w:r>
    </w:p>
    <w:tbl>
      <w:tblPr>
        <w:tblW w:type="auto" w:w="0"/>
        <w:jc w:val="center"/>
        <w:tblLayout w:type="fixed"/>
        <w:tblLook w:firstColumn="1" w:firstRow="1" w:lastColumn="0" w:lastRow="0" w:noHBand="0" w:noVBand="1" w:val="04A0"/>
      </w:tblPr>
      <w:tblGrid>
        <w:gridCol w:w="1181"/>
        <w:gridCol w:w="8712"/>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ID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Mar>
              <w:top w:w="75" w:type="dxa"/>
              <w:start w:w="90" w:type="dxa"/>
              <w:bottom w:w="75" w:type="dxa"/>
              <w:end w:w="90" w:type="dxa"/>
            </w:tcMar>
            <w:vAlign w:val="center"/>
          </w:tcPr>
          <w:p>
            <w:pPr>
              <w:spacing w:after="0"/>
            </w:pPr>
            <w:r>
              <w:rPr>
                <w:rFonts w:ascii="Arial" w:hAnsi="Arial"/>
                <w:b/>
                <w:color w:val="FFFFFF"/>
                <w:sz w:val="18"/>
              </w:rPr>
              <w:t>Requirement</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NFR-47</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The service shall maintain a clear separation between API, application, domain, and infrastructure concerns.</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NFR-48</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Public APIs and Kafka events shall be versioned and documented.</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NFR-49</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Database migrations shall be backward-compatible with the deployment approach wherever practical.</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NFR-50</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Automated unit tests shall cover domain rules, validation, authorization decisions, and state transitions.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NFR-51</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Integration tests shall cover PostgreSQL migrations and repositories using a real PostgreSQL-compatible test environment.</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NFR-52</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Security tests shall verify unauthenticated, forbidden, ownership, and authorized scenarios.</w:t>
            </w:r>
          </w:p>
        </w:tc>
      </w:tr>
      <w:tr>
        <w:trPr>
          <w:cantSplit/>
        </w:trPr>
        <w:tc>
          <w:tcPr>
            <w:tcW w:type="dxa" w:w="118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NFR-53</w:t>
            </w:r>
          </w:p>
        </w:tc>
        <w:tc>
          <w:tcPr>
            <w:tcW w:type="dxa" w:w="871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Contract or integration tests shall verify event schemas and critical interactions with Keycloak and Kafka.</w:t>
            </w:r>
          </w:p>
        </w:tc>
      </w:tr>
      <w:tr>
        <w:trPr>
          <w:cantSplit/>
        </w:trPr>
        <w:tc>
          <w:tcPr>
            <w:tcW w:type="dxa" w:w="118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b/>
                <w:color w:val="17365D"/>
                <w:sz w:val="18"/>
              </w:rPr>
              <w:t>NFR-54</w:t>
            </w:r>
          </w:p>
        </w:tc>
        <w:tc>
          <w:tcPr>
            <w:tcW w:type="dxa" w:w="871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vAlign w:val="top"/>
          </w:tcPr>
          <w:p>
            <w:pPr>
              <w:spacing w:after="0" w:line="240" w:lineRule="auto"/>
            </w:pPr>
            <w:r>
              <w:rPr>
                <w:rFonts w:ascii="Arial" w:hAnsi="Arial"/>
                <w:color w:val="1F2D3D"/>
                <w:sz w:val="18"/>
              </w:rPr>
              <w:t>The build shall fail on migration-validation errors or failed automated tests.</w:t>
            </w:r>
          </w:p>
        </w:tc>
      </w:tr>
    </w:tbl>
    <w:p>
      <w:pPr>
        <w:spacing w:after="0"/>
      </w:pPr>
    </w:p>
    <w:p>
      <w:r>
        <w:br w:type="page"/>
      </w:r>
    </w:p>
    <w:p>
      <w:pPr>
        <w:pStyle w:val="Heading1"/>
      </w:pPr>
      <w:r>
        <w:t>Service boundaries</w:t>
      </w:r>
    </w:p>
    <w:p>
      <w:r>
        <w:t>Each microservice is the system of record for its own domain. Other services may retain identifiers or read models, but they should not write directly to the Customer Service database.</w:t>
      </w:r>
    </w:p>
    <w:tbl>
      <w:tblPr>
        <w:tblW w:type="auto" w:w="0"/>
        <w:jc w:val="center"/>
        <w:tblLayout w:type="fixed"/>
        <w:tblLook w:firstColumn="1" w:firstRow="1" w:lastColumn="0" w:lastRow="0" w:noHBand="0" w:noVBand="1" w:val="04A0"/>
      </w:tblPr>
      <w:tblGrid>
        <w:gridCol w:w="2952"/>
        <w:gridCol w:w="6941"/>
      </w:tblGrid>
      <w:tr>
        <w:trPr>
          <w:tblHeader w:val="true"/>
        </w:trPr>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Pr>
          <w:p>
            <w:r>
              <w:rPr>
                <w:rFonts w:ascii="Arial" w:hAnsi="Arial"/>
                <w:b/>
                <w:color w:val="FFFFFF"/>
                <w:sz w:val="18"/>
              </w:rPr>
              <w:t>System of record</w:t>
            </w:r>
          </w:p>
        </w:tc>
        <w:tc>
          <w:tcPr>
            <w:tcW w:type="dxa" w:w="5040"/>
            <w:shd w:fill="17365D"/>
            <w:tcBorders>
              <w:top w:val="single" w:sz="4" w:color="17365D"/>
              <w:left w:val="single" w:sz="4" w:color="17365D"/>
              <w:bottom w:val="single" w:sz="4" w:color="17365D"/>
              <w:right w:val="single" w:sz="4" w:color="17365D"/>
              <w:insideH w:val="single" w:sz="4" w:color="17365D"/>
              <w:insideV w:val="single" w:sz="4" w:color="17365D"/>
            </w:tcBorders>
          </w:tcPr>
          <w:p>
            <w:r>
              <w:rPr>
                <w:rFonts w:ascii="Arial" w:hAnsi="Arial"/>
                <w:b/>
                <w:color w:val="FFFFFF"/>
                <w:sz w:val="18"/>
              </w:rPr>
              <w:t>Owned data and responsibility</w:t>
            </w:r>
          </w:p>
        </w:tc>
      </w:tr>
      <w:tr>
        <w:tc>
          <w:tcPr>
            <w:tcW w:type="dxa" w:w="295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7365D"/>
                <w:sz w:val="18"/>
              </w:rPr>
              <w:t>Customer Service</w:t>
            </w:r>
          </w:p>
        </w:tc>
        <w:tc>
          <w:tcPr>
            <w:tcW w:type="dxa" w:w="694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Profiles, contact methods, addresses, KYC state, consent, customer status, and customer-level limits</w:t>
            </w:r>
          </w:p>
        </w:tc>
      </w:tr>
      <w:tr>
        <w:tc>
          <w:tcPr>
            <w:tcW w:type="dxa" w:w="295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7365D"/>
                <w:sz w:val="18"/>
              </w:rPr>
              <w:t>Keycloak</w:t>
            </w:r>
          </w:p>
        </w:tc>
        <w:tc>
          <w:tcPr>
            <w:tcW w:type="dxa" w:w="694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Credentials, authentication, access tokens, login sessions, MFA, and realm/client roles</w:t>
            </w:r>
          </w:p>
        </w:tc>
      </w:tr>
      <w:tr>
        <w:tc>
          <w:tcPr>
            <w:tcW w:type="dxa" w:w="295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7365D"/>
                <w:sz w:val="18"/>
              </w:rPr>
              <w:t>Wallet and Ledger Service</w:t>
            </w:r>
          </w:p>
        </w:tc>
        <w:tc>
          <w:tcPr>
            <w:tcW w:type="dxa" w:w="694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Wallet accounts, balances, holds, postings, and immutable ledger entries</w:t>
            </w:r>
          </w:p>
        </w:tc>
      </w:tr>
      <w:tr>
        <w:tc>
          <w:tcPr>
            <w:tcW w:type="dxa" w:w="295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7365D"/>
                <w:sz w:val="18"/>
              </w:rPr>
              <w:t>Payment Service</w:t>
            </w:r>
          </w:p>
        </w:tc>
        <w:tc>
          <w:tcPr>
            <w:tcW w:type="dxa" w:w="694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Deposit, withdrawal, transfer orchestration, provider requests, and payment status</w:t>
            </w:r>
          </w:p>
        </w:tc>
      </w:tr>
      <w:tr>
        <w:tc>
          <w:tcPr>
            <w:tcW w:type="dxa" w:w="295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7365D"/>
                <w:sz w:val="18"/>
              </w:rPr>
              <w:t>Risk Service</w:t>
            </w:r>
          </w:p>
        </w:tc>
        <w:tc>
          <w:tcPr>
            <w:tcW w:type="dxa" w:w="694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Transaction risk scoring, fraud rules, alerts, and risk decisions</w:t>
            </w:r>
          </w:p>
        </w:tc>
      </w:tr>
      <w:tr>
        <w:tc>
          <w:tcPr>
            <w:tcW w:type="dxa" w:w="295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7365D"/>
                <w:sz w:val="18"/>
              </w:rPr>
              <w:t>Notification Service</w:t>
            </w:r>
          </w:p>
        </w:tc>
        <w:tc>
          <w:tcPr>
            <w:tcW w:type="dxa" w:w="6941"/>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Delivery of SMS, email, push, and notification templates</w:t>
            </w:r>
          </w:p>
        </w:tc>
      </w:tr>
      <w:tr>
        <w:tc>
          <w:tcPr>
            <w:tcW w:type="dxa" w:w="295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7365D"/>
                <w:sz w:val="18"/>
              </w:rPr>
              <w:t>Transaction Query Service</w:t>
            </w:r>
          </w:p>
        </w:tc>
        <w:tc>
          <w:tcPr>
            <w:tcW w:type="dxa" w:w="6941"/>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Customer-facing transaction history read models and optimized queries</w:t>
            </w:r>
          </w:p>
        </w:tc>
      </w:tr>
    </w:tbl>
    <w:p>
      <w:pPr>
        <w:pStyle w:val="Heading1"/>
      </w:pPr>
      <w:r>
        <w:t>Implementation priorities</w:t>
      </w:r>
    </w:p>
    <w:p>
      <w:r>
        <w:t>A practical delivery sequence is listed below. Each phase should include migrations, automated tests, authorization rules, and operational telemetry rather than postponing them to the end.</w:t>
      </w:r>
    </w:p>
    <w:tbl>
      <w:tblPr>
        <w:tblW w:type="auto" w:w="0"/>
        <w:jc w:val="center"/>
        <w:tblLayout w:type="fixed"/>
        <w:tblLook w:firstColumn="1" w:firstRow="1" w:lastColumn="0" w:lastRow="0" w:noHBand="0" w:noVBand="1" w:val="04A0"/>
      </w:tblPr>
      <w:tblGrid>
        <w:gridCol w:w="792"/>
        <w:gridCol w:w="2232"/>
        <w:gridCol w:w="6869"/>
      </w:tblGrid>
      <w:tr>
        <w:trPr>
          <w:tblHeader w:val="true"/>
        </w:trPr>
        <w:tc>
          <w:tcPr>
            <w:tcW w:type="dxa" w:w="3360"/>
            <w:shd w:fill="17365D"/>
            <w:tcBorders>
              <w:top w:val="single" w:sz="4" w:color="17365D"/>
              <w:left w:val="single" w:sz="4" w:color="17365D"/>
              <w:bottom w:val="single" w:sz="4" w:color="17365D"/>
              <w:right w:val="single" w:sz="4" w:color="17365D"/>
              <w:insideH w:val="single" w:sz="4" w:color="17365D"/>
              <w:insideV w:val="single" w:sz="4" w:color="17365D"/>
            </w:tcBorders>
          </w:tcPr>
          <w:p>
            <w:r>
              <w:rPr>
                <w:rFonts w:ascii="Arial" w:hAnsi="Arial"/>
                <w:b/>
                <w:color w:val="FFFFFF"/>
                <w:sz w:val="18"/>
              </w:rPr>
              <w:t>Phase</w:t>
            </w:r>
          </w:p>
        </w:tc>
        <w:tc>
          <w:tcPr>
            <w:tcW w:type="dxa" w:w="3360"/>
            <w:shd w:fill="17365D"/>
            <w:tcBorders>
              <w:top w:val="single" w:sz="4" w:color="17365D"/>
              <w:left w:val="single" w:sz="4" w:color="17365D"/>
              <w:bottom w:val="single" w:sz="4" w:color="17365D"/>
              <w:right w:val="single" w:sz="4" w:color="17365D"/>
              <w:insideH w:val="single" w:sz="4" w:color="17365D"/>
              <w:insideV w:val="single" w:sz="4" w:color="17365D"/>
            </w:tcBorders>
          </w:tcPr>
          <w:p>
            <w:r>
              <w:rPr>
                <w:rFonts w:ascii="Arial" w:hAnsi="Arial"/>
                <w:b/>
                <w:color w:val="FFFFFF"/>
                <w:sz w:val="18"/>
              </w:rPr>
              <w:t>Focus</w:t>
            </w:r>
          </w:p>
        </w:tc>
        <w:tc>
          <w:tcPr>
            <w:tcW w:type="dxa" w:w="3360"/>
            <w:shd w:fill="17365D"/>
            <w:tcBorders>
              <w:top w:val="single" w:sz="4" w:color="17365D"/>
              <w:left w:val="single" w:sz="4" w:color="17365D"/>
              <w:bottom w:val="single" w:sz="4" w:color="17365D"/>
              <w:right w:val="single" w:sz="4" w:color="17365D"/>
              <w:insideH w:val="single" w:sz="4" w:color="17365D"/>
              <w:insideV w:val="single" w:sz="4" w:color="17365D"/>
            </w:tcBorders>
          </w:tcPr>
          <w:p>
            <w:r>
              <w:rPr>
                <w:rFonts w:ascii="Arial" w:hAnsi="Arial"/>
                <w:b/>
                <w:color w:val="FFFFFF"/>
                <w:sz w:val="18"/>
              </w:rPr>
              <w:t>Deliverables</w:t>
            </w:r>
          </w:p>
        </w:tc>
      </w:tr>
      <w:tr>
        <w:tc>
          <w:tcPr>
            <w:tcW w:type="dxa" w:w="79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7365D"/>
                <w:sz w:val="18"/>
              </w:rPr>
              <w:t>1</w:t>
            </w:r>
          </w:p>
        </w:tc>
        <w:tc>
          <w:tcPr>
            <w:tcW w:type="dxa" w:w="223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F2D3D"/>
                <w:sz w:val="18"/>
              </w:rPr>
              <w:t>Foundation</w:t>
            </w:r>
          </w:p>
        </w:tc>
        <w:tc>
          <w:tcPr>
            <w:tcW w:type="dxa" w:w="6869"/>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Flyway schema, customer profile, Keycloak JWT validation, ownership authorization, validation, and standard error handling.</w:t>
            </w:r>
          </w:p>
        </w:tc>
      </w:tr>
      <w:tr>
        <w:tc>
          <w:tcPr>
            <w:tcW w:type="dxa" w:w="79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7365D"/>
                <w:sz w:val="18"/>
              </w:rPr>
              <w:t>2</w:t>
            </w:r>
          </w:p>
        </w:tc>
        <w:tc>
          <w:tcPr>
            <w:tcW w:type="dxa" w:w="223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F2D3D"/>
                <w:sz w:val="18"/>
              </w:rPr>
              <w:t>Identity and compliance</w:t>
            </w:r>
          </w:p>
        </w:tc>
        <w:tc>
          <w:tcPr>
            <w:tcW w:type="dxa" w:w="6869"/>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Contact methods, addresses, KYC submission and review, lifecycle transitions, consent, and audit records.</w:t>
            </w:r>
          </w:p>
        </w:tc>
      </w:tr>
      <w:tr>
        <w:tc>
          <w:tcPr>
            <w:tcW w:type="dxa" w:w="79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7365D"/>
                <w:sz w:val="18"/>
              </w:rPr>
              <w:t>3</w:t>
            </w:r>
          </w:p>
        </w:tc>
        <w:tc>
          <w:tcPr>
            <w:tcW w:type="dxa" w:w="223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F2D3D"/>
                <w:sz w:val="18"/>
              </w:rPr>
              <w:t>Reliable integration</w:t>
            </w:r>
          </w:p>
        </w:tc>
        <w:tc>
          <w:tcPr>
            <w:tcW w:type="dxa" w:w="6869"/>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Transactional outbox, Kafka event publication, schema versioning, retries, and idempotent consumers.</w:t>
            </w:r>
          </w:p>
        </w:tc>
      </w:tr>
      <w:tr>
        <w:tc>
          <w:tcPr>
            <w:tcW w:type="dxa" w:w="79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7365D"/>
                <w:sz w:val="18"/>
              </w:rPr>
              <w:t>4</w:t>
            </w:r>
          </w:p>
        </w:tc>
        <w:tc>
          <w:tcPr>
            <w:tcW w:type="dxa" w:w="2232"/>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F2D3D"/>
                <w:sz w:val="18"/>
              </w:rPr>
              <w:t>Product controls</w:t>
            </w:r>
          </w:p>
        </w:tc>
        <w:tc>
          <w:tcPr>
            <w:tcW w:type="dxa" w:w="6869"/>
            <w:shd w:fill="EAF2F8"/>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Customer limit tiers, administrative search, masking rules, and controlled support workflows.</w:t>
            </w:r>
          </w:p>
        </w:tc>
      </w:tr>
      <w:tr>
        <w:tc>
          <w:tcPr>
            <w:tcW w:type="dxa" w:w="79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7365D"/>
                <w:sz w:val="18"/>
              </w:rPr>
              <w:t>5</w:t>
            </w:r>
          </w:p>
        </w:tc>
        <w:tc>
          <w:tcPr>
            <w:tcW w:type="dxa" w:w="2232"/>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b/>
                <w:color w:val="1F2D3D"/>
                <w:sz w:val="18"/>
              </w:rPr>
              <w:t>Production readiness</w:t>
            </w:r>
          </w:p>
        </w:tc>
        <w:tc>
          <w:tcPr>
            <w:tcW w:type="dxa" w:w="6869"/>
            <w:tcBorders>
              <w:top w:val="single" w:sz="4" w:color="D9E1E8"/>
              <w:left w:val="single" w:sz="4" w:color="D9E1E8"/>
              <w:bottom w:val="single" w:sz="4" w:color="D9E1E8"/>
              <w:right w:val="single" w:sz="4" w:color="D9E1E8"/>
              <w:insideH w:val="single" w:sz="4" w:color="D9E1E8"/>
              <w:insideV w:val="single" w:sz="4" w:color="D9E1E8"/>
            </w:tcBorders>
            <w:tcMar>
              <w:top w:w="75" w:type="dxa"/>
              <w:start w:w="90" w:type="dxa"/>
              <w:bottom w:w="75" w:type="dxa"/>
              <w:end w:w="90" w:type="dxa"/>
            </w:tcMar>
          </w:tcPr>
          <w:p>
            <w:r>
              <w:rPr>
                <w:rFonts w:ascii="Arial" w:hAnsi="Arial"/>
                <w:color w:val="1F2D3D"/>
                <w:sz w:val="18"/>
              </w:rPr>
              <w:t>Performance testing, alerting, backup and restore testing, retention controls, security review, and operational runbooks.</w:t>
            </w:r>
          </w:p>
        </w:tc>
      </w:tr>
    </w:tbl>
    <w:p>
      <w:pPr>
        <w:pStyle w:val="Heading1"/>
      </w:pPr>
      <w:r>
        <w:t>Acceptance baseline</w:t>
      </w:r>
    </w:p>
    <w:p>
      <w:r>
        <w:t>A release is ready for acceptance when its implemented requirement set is traceable to automated or documented tests, database migrations validate successfully, authorization and ownership rules are verified, sensitive data is absent from telemetry and events, and the service meets the agreed operational targets for the target environment.</w:t>
      </w:r>
    </w:p>
    <w:sectPr w:rsidR="00FC693F" w:rsidRPr="0006063C" w:rsidSect="00034616">
      <w:footerReference w:type="default" r:id="rId9"/>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8496"/>
      <w:gridCol w:w="1584"/>
    </w:tblGrid>
    <w:tr>
      <w:tc>
        <w:tcPr>
          <w:tcW w:type="dxa" w:w="5040"/>
        </w:tcPr>
        <w:p>
          <w:r>
            <w:rPr>
              <w:rFonts w:ascii="Arial" w:hAnsi="Arial"/>
              <w:color w:val="596775"/>
              <w:sz w:val="16"/>
            </w:rPr>
            <w:t>VeraPay  |  Customer Microservice Requirements</w:t>
          </w:r>
        </w:p>
      </w:tc>
      <w:tc>
        <w:tcPr>
          <w:tcW w:type="dxa" w:w="5040"/>
        </w:tcPr>
        <w:p>
          <w:pPr>
            <w:jc w:val="right"/>
          </w:pPr>
          <w:r>
            <w:rPr>
              <w:rFonts w:ascii="Arial" w:hAnsi="Arial"/>
              <w:color w:val="596775"/>
              <w:sz w:val="16"/>
            </w:rPr>
            <w:t xml:space="preserve">Page </w:t>
          </w:r>
          <w:r>
            <w:rPr>
              <w:rFonts w:ascii="Arial" w:hAnsi="Arial"/>
              <w:color w:val="596775"/>
              <w:sz w:val="16"/>
            </w:rPr>
            <w:fldChar w:fldCharType="begin"/>
            <w:instrText xml:space="preserve"> PAGE </w:instrText>
            <w:fldChar w:fldCharType="separate"/>
            <w:t>1</w: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D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2D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5967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17" w:hanging="23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Microservice Requirements Specification</dc:title>
  <dc:subject>Functional and non-functional requirements for the VeraPay Customer Microservice</dc:subject>
  <dc:creator>python-docx</dc:creator>
  <cp:keywords>VeraPay, customer service, microservices, mobile money, requirements</cp:keywords>
  <dc:description>Version 1.0</dc:description>
  <cp:lastModifiedBy/>
  <cp:revision>1</cp:revision>
  <dcterms:created xsi:type="dcterms:W3CDTF">2013-12-23T23:15:00Z</dcterms:created>
  <dcterms:modified xsi:type="dcterms:W3CDTF">2013-12-23T23:15:00Z</dcterms:modified>
  <cp:category/>
</cp:coreProperties>
</file>