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660" w:lineRule="exact"/>
        <w:jc w:val="center"/>
        <w:outlineLvl w:val="0"/>
      </w:pPr>
      <w:r>
        <w:rPr>
          <w:rFonts w:ascii="Times New Roman" w:hAnsi="Times New Roman" w:eastAsia="方正小标宋简体" w:cs="方正小标宋简体"/>
          <w:sz w:val="44"/>
        </w:rPr>
        <w:t>2025年度重点项目实施方案</w:t>
      </w:r>
    </w:p>
    <w:p>
      <w:pPr>
        <w:pStyle w:val="Subtitle"/>
        <w:spacing w:line="660" w:lineRule="exact"/>
        <w:jc w:val="center"/>
      </w:pPr>
      <w:r>
        <w:rPr>
          <w:rFonts w:ascii="Times New Roman" w:hAnsi="Times New Roman" w:eastAsia="楷体_GB2312" w:cs="楷体_GB2312"/>
          <w:sz w:val="32"/>
        </w:rPr>
        <w:t>技术研发中心</w:t>
      </w:r>
    </w:p>
    <w:p>
      <w:pPr>
        <w:pStyle w:val="Heading1"/>
        <w:ind w:left="0" w:right="0"/>
        <w:outlineLvl w:val="0"/>
      </w:pPr>
      <w:r>
        <w:rPr>
          <w:rFonts w:ascii="Times New Roman" w:hAnsi="Times New Roman" w:eastAsia="黑体" w:cs="黑体"/>
          <w:b/>
          <w:sz w:val="32"/>
        </w:rPr>
        <w:t>一、项目背景</w:t>
      </w:r>
    </w:p>
    <w:p>
      <w:pPr>
        <w:pStyle w:val="Heading2"/>
        <w:ind w:left="0" w:right="0"/>
        <w:outlineLvl w:val="1"/>
      </w:pPr>
      <w:r>
        <w:rPr>
          <w:rFonts w:ascii="Times New Roman" w:hAnsi="Times New Roman" w:eastAsia="楷体_GB2312" w:cs="楷体_GB2312"/>
          <w:b w:val="0"/>
          <w:sz w:val="32"/>
        </w:rPr>
        <w:t>（一）政策依据</w:t>
      </w:r>
    </w:p>
    <w:p>
      <w:pPr>
        <w:spacing w:line="560" w:lineRule="exact"/>
        <w:ind w:left="0" w:right="0"/>
      </w:pPr>
      <w:r>
        <w:rPr>
          <w:rFonts w:ascii="Times New Roman" w:hAnsi="Times New Roman" w:eastAsia="仿宋_GB2312" w:cs="仿宋_GB2312"/>
          <w:sz w:val="32"/>
        </w:rPr>
        <w:t>贯彻落实相关文件精神，推进数字化转型。</w:t>
      </w:r>
    </w:p>
    <w:p>
      <w:pPr>
        <w:spacing w:line="560" w:lineRule="exact"/>
        <w:ind w:left="0" w:right="0"/>
      </w:pPr>
      <w:r>
        <w:rPr>
          <w:rFonts w:ascii="Times New Roman" w:hAnsi="Times New Roman" w:eastAsia="仿宋_GB2312" w:cs="仿宋_GB2312"/>
          <w:b/>
          <w:sz w:val="32"/>
        </w:rPr>
        <w:t>混排测试：</w:t>
      </w:r>
      <w:r>
        <w:rPr>
          <w:rFonts w:ascii="Times New Roman" w:hAnsi="Times New Roman" w:eastAsia="仿宋_GB2312" w:cs="仿宋_GB2312"/>
          <w:sz w:val="32"/>
        </w:rPr>
        <w:t>中文正文 English 789 与数字 3.14。</w:t>
      </w:r>
    </w:p>
    <w:p>
      <w:pPr>
        <w:ind w:left="0" w:right="0"/>
        <w:outlineLvl w:val="0"/>
      </w:pPr>
      <w:r>
        <w:rPr>
          <w:rFonts w:ascii="Times New Roman" w:hAnsi="Times New Roman" w:eastAsia="黑体" w:cs="黑体"/>
          <w:b/>
          <w:sz w:val="32"/>
        </w:rPr>
        <w:t>二、实施路径</w:t>
      </w:r>
    </w:p>
    <w:p>
      <w:pPr>
        <w:pStyle w:val="Heading2"/>
        <w:ind w:left="0" w:right="0"/>
        <w:outlineLvl w:val="1"/>
      </w:pPr>
      <w:r>
        <w:rPr>
          <w:rFonts w:ascii="Times New Roman" w:hAnsi="Times New Roman" w:eastAsia="楷体_GB2312" w:cs="楷体_GB2312"/>
          <w:b w:val="0"/>
          <w:sz w:val="32"/>
        </w:rPr>
        <w:t>（二）阶段安排</w:t>
      </w:r>
    </w:p>
    <w:p>
      <w:pPr>
        <w:spacing w:line="560" w:lineRule="exact"/>
        <w:ind w:left="0" w:right="0"/>
      </w:pPr>
      <w:r>
        <w:rPr>
          <w:rFonts w:ascii="Times New Roman" w:hAnsi="Times New Roman" w:eastAsia="仿宋_GB2312" w:cs="仿宋_GB2312"/>
          <w:sz w:val="32"/>
        </w:rPr>
        <w:t>1. 第一阶段完成需求梳理。</w:t>
      </w:r>
    </w:p>
    <w:p>
      <w:pPr>
        <w:pStyle w:val="Heading3"/>
        <w:spacing w:line="560" w:lineRule="exact"/>
        <w:ind w:left="0" w:right="0"/>
        <w:outlineLvl w:val="2"/>
      </w:pPr>
      <w:r>
        <w:rPr>
          <w:rFonts w:ascii="Times New Roman" w:hAnsi="Times New Roman" w:eastAsia="仿宋_GB2312" w:cs="仿宋_GB2312"/>
          <w:sz w:val="32"/>
        </w:rPr>
        <w:t>任务分解与里程碑</w:t>
      </w:r>
    </w:p>
    <w:p>
      <w:pPr>
        <w:jc w:val="center"/>
      </w:pPr>
      <w:r>
        <w:rPr>
          <w:rFonts w:ascii="Times New Roman" w:hAnsi="Times New Roman" w:eastAsia="黑体" w:cs="黑体"/>
          <w:sz w:val="28"/>
        </w:rPr>
        <w:t>表1 里程碑计划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0"/>
        <w:gridCol w:w="2250"/>
        <w:gridCol w:w="2250"/>
        <w:gridCol w:w="2250"/>
      </w:tblGrid>
      <w:tr>
        <w:trPr>
          <w:trHeight w:val="397"/>
        </w:trPr>
        <w:tc>
          <w:tcPr>
            <w:tcW w:type="dxa" w:w="216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/>
                <w:sz w:val="24"/>
              </w:rPr>
              <w:t>阶段</w:t>
            </w:r>
          </w:p>
        </w:tc>
        <w:tc>
          <w:tcPr>
            <w:tcW w:type="dxa" w:w="216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/>
                <w:sz w:val="24"/>
              </w:rPr>
              <w:t>时间</w:t>
            </w:r>
          </w:p>
        </w:tc>
        <w:tc>
          <w:tcPr>
            <w:tcW w:type="dxa" w:w="216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/>
                <w:sz w:val="24"/>
              </w:rPr>
              <w:t>负责人</w:t>
            </w:r>
          </w:p>
        </w:tc>
        <w:tc>
          <w:tcPr>
            <w:tcW w:type="dxa" w:w="216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/>
                <w:sz w:val="24"/>
              </w:rPr>
              <w:t>状态</w:t>
            </w:r>
          </w:p>
        </w:tc>
      </w:tr>
      <w:tr>
        <w:trPr>
          <w:trHeight w:val="397"/>
        </w:trPr>
        <w:tc>
          <w:tcPr>
            <w:tcW w:type="dxa" w:w="216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 w:val="0"/>
                <w:sz w:val="24"/>
              </w:rPr>
              <w:t>启动</w:t>
            </w:r>
          </w:p>
        </w:tc>
        <w:tc>
          <w:tcPr>
            <w:tcW w:type="dxa" w:w="216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 w:val="0"/>
                <w:sz w:val="24"/>
              </w:rPr>
              <w:t>2025-Q1</w:t>
            </w:r>
          </w:p>
        </w:tc>
        <w:tc>
          <w:tcPr>
            <w:tcW w:type="dxa" w:w="216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 w:val="0"/>
                <w:sz w:val="24"/>
              </w:rPr>
              <w:t>张三</w:t>
            </w:r>
          </w:p>
        </w:tc>
        <w:tc>
          <w:tcPr>
            <w:tcW w:type="dxa" w:w="216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 w:val="0"/>
                <w:sz w:val="24"/>
              </w:rPr>
              <w:t>完成</w:t>
            </w:r>
          </w:p>
        </w:tc>
      </w:tr>
      <w:tr>
        <w:trPr>
          <w:trHeight w:val="397"/>
        </w:trPr>
        <w:tc>
          <w:tcPr>
            <w:tcW w:type="dxa" w:w="216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 w:val="0"/>
                <w:sz w:val="24"/>
              </w:rPr>
              <w:t>开发</w:t>
            </w:r>
          </w:p>
        </w:tc>
        <w:tc>
          <w:tcPr>
            <w:tcW w:type="dxa" w:w="216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 w:val="0"/>
                <w:sz w:val="24"/>
              </w:rPr>
              <w:t>2025-Q2</w:t>
            </w:r>
          </w:p>
        </w:tc>
        <w:tc>
          <w:tcPr>
            <w:tcW w:type="dxa" w:w="216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 w:val="0"/>
                <w:sz w:val="24"/>
              </w:rPr>
              <w:t>李四</w:t>
            </w:r>
          </w:p>
        </w:tc>
        <w:tc>
          <w:tcPr>
            <w:tcW w:type="dxa" w:w="216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 w:val="0"/>
                <w:sz w:val="24"/>
              </w:rPr>
              <w:t>进行</w:t>
            </w:r>
          </w:p>
        </w:tc>
      </w:tr>
      <w:tr>
        <w:trPr>
          <w:trHeight w:val="397"/>
        </w:trPr>
        <w:tc>
          <w:tcPr>
            <w:tcW w:type="dxa" w:w="216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 w:val="0"/>
                <w:sz w:val="24"/>
              </w:rPr>
              <w:t>验收</w:t>
            </w:r>
          </w:p>
        </w:tc>
        <w:tc>
          <w:tcPr>
            <w:tcW w:type="dxa" w:w="216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 w:val="0"/>
                <w:sz w:val="24"/>
              </w:rPr>
              <w:t>2025-Q3</w:t>
            </w:r>
          </w:p>
        </w:tc>
        <w:tc>
          <w:tcPr>
            <w:tcW w:type="dxa" w:w="216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 w:val="0"/>
                <w:sz w:val="24"/>
              </w:rPr>
              <w:t>王五</w:t>
            </w:r>
          </w:p>
        </w:tc>
        <w:tc>
          <w:tcPr>
            <w:tcW w:type="dxa" w:w="216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 w:val="0"/>
                <w:sz w:val="24"/>
              </w:rPr>
              <w:t>待定</w:t>
            </w:r>
          </w:p>
        </w:tc>
      </w:tr>
    </w:tbl>
    <w:p>
      <w:pPr>
        <w:jc w:val="center"/>
      </w:pPr>
      <w:r>
        <w:rPr>
          <w:rFonts w:ascii="Times New Roman" w:hAnsi="Times New Roman" w:eastAsia="黑体" w:cs="黑体"/>
          <w:sz w:val="28"/>
        </w:rPr>
        <w:t>图1 总体技术架构</w:t>
      </w:r>
    </w:p>
    <w:p>
      <w:pPr>
        <w:jc w:val="center"/>
      </w:pPr>
      <w:r>
        <w:rPr>
          <w:rFonts w:ascii="Times New Roman" w:hAnsi="Times New Roman" w:eastAsia="黑体" w:cs="黑体"/>
          <w:sz w:val="28"/>
        </w:rPr>
        <w:t>表2 经费预算明细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trHeight w:val="397"/>
        </w:trPr>
        <w:tc>
          <w:tcPr>
            <w:tcW w:type="dxa" w:w="1728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/>
                <w:sz w:val="24"/>
              </w:rPr>
              <w:t>科目</w:t>
            </w:r>
          </w:p>
        </w:tc>
        <w:tc>
          <w:tcPr>
            <w:tcW w:type="dxa" w:w="1728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/>
                <w:sz w:val="24"/>
              </w:rPr>
              <w:t>预算(万元)</w:t>
            </w:r>
          </w:p>
        </w:tc>
        <w:tc>
          <w:tcPr>
            <w:tcW w:type="dxa" w:w="1728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/>
                <w:sz w:val="24"/>
              </w:rPr>
              <w:t>已用</w:t>
            </w:r>
          </w:p>
        </w:tc>
        <w:tc>
          <w:tcPr>
            <w:tcW w:type="dxa" w:w="1728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/>
                <w:sz w:val="24"/>
              </w:rPr>
              <w:t>余额</w:t>
            </w:r>
          </w:p>
        </w:tc>
        <w:tc>
          <w:tcPr>
            <w:tcW w:type="dxa" w:w="1728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/>
                <w:sz w:val="24"/>
              </w:rPr>
              <w:t>备注</w:t>
            </w:r>
          </w:p>
        </w:tc>
      </w:tr>
      <w:tr>
        <w:trPr>
          <w:trHeight w:val="397"/>
        </w:trPr>
        <w:tc>
          <w:tcPr>
            <w:tcW w:type="dxa" w:w="1728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 w:val="0"/>
                <w:sz w:val="24"/>
              </w:rPr>
              <w:t>设备</w:t>
            </w:r>
          </w:p>
        </w:tc>
        <w:tc>
          <w:tcPr>
            <w:tcW w:type="dxa" w:w="1728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 w:val="0"/>
                <w:sz w:val="24"/>
              </w:rPr>
              <w:t>120.5</w:t>
            </w:r>
          </w:p>
        </w:tc>
        <w:tc>
          <w:tcPr>
            <w:tcW w:type="dxa" w:w="1728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 w:val="0"/>
                <w:sz w:val="24"/>
              </w:rPr>
              <w:t>80</w:t>
            </w:r>
          </w:p>
        </w:tc>
        <w:tc>
          <w:tcPr>
            <w:tcW w:type="dxa" w:w="1728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 w:val="0"/>
                <w:sz w:val="24"/>
              </w:rPr>
              <w:t>40.5</w:t>
            </w:r>
          </w:p>
        </w:tc>
        <w:tc>
          <w:tcPr>
            <w:tcW w:type="dxa" w:w="1728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 w:val="0"/>
                <w:sz w:val="24"/>
              </w:rPr>
              <w:t>含服务器</w:t>
            </w:r>
          </w:p>
        </w:tc>
      </w:tr>
      <w:tr>
        <w:trPr>
          <w:trHeight w:val="397"/>
        </w:trPr>
        <w:tc>
          <w:tcPr>
            <w:tcW w:type="dxa" w:w="1728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 w:val="0"/>
                <w:sz w:val="24"/>
              </w:rPr>
              <w:t>人力</w:t>
            </w:r>
          </w:p>
        </w:tc>
        <w:tc>
          <w:tcPr>
            <w:tcW w:type="dxa" w:w="1728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 w:val="0"/>
                <w:sz w:val="24"/>
              </w:rPr>
              <w:t>200</w:t>
            </w:r>
          </w:p>
        </w:tc>
        <w:tc>
          <w:tcPr>
            <w:tcW w:type="dxa" w:w="1728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 w:val="0"/>
                <w:sz w:val="24"/>
              </w:rPr>
              <w:t>150</w:t>
            </w:r>
          </w:p>
        </w:tc>
        <w:tc>
          <w:tcPr>
            <w:tcW w:type="dxa" w:w="1728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 w:val="0"/>
                <w:sz w:val="24"/>
              </w:rPr>
              <w:t>50</w:t>
            </w:r>
          </w:p>
        </w:tc>
        <w:tc>
          <w:tcPr>
            <w:tcW w:type="dxa" w:w="1728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 w:val="0"/>
                <w:sz w:val="24"/>
              </w:rPr>
              <w:t>研发</w:t>
            </w:r>
          </w:p>
        </w:tc>
      </w:tr>
    </w:tbl>
    <w:p>
      <w:pPr>
        <w:jc w:val="center"/>
      </w:pPr>
      <w:r>
        <w:rPr>
          <w:rFonts w:ascii="Times New Roman" w:hAnsi="Times New Roman" w:eastAsia="黑体" w:cs="黑体"/>
          <w:sz w:val="28"/>
        </w:rPr>
        <w:t>图 2 部署流程图</w:t>
      </w:r>
    </w:p>
    <w:p>
      <w:pPr>
        <w:ind w:left="0" w:right="0"/>
      </w:pPr>
      <w:r>
        <w:rPr>
          <w:rFonts w:ascii="Times New Roman" w:hAnsi="Times New Roman" w:eastAsia="黑体" w:cs="黑体"/>
          <w:b/>
          <w:sz w:val="32"/>
        </w:rPr>
        <w:t>附件1 申报材料清单</w:t>
      </w:r>
    </w:p>
    <w:p>
      <w:pPr>
        <w:ind w:left="0" w:right="0"/>
      </w:pPr>
      <w:r>
        <w:rPr>
          <w:rFonts w:ascii="Times New Roman" w:hAnsi="Times New Roman" w:eastAsia="黑体" w:cs="黑体"/>
          <w:b/>
          <w:sz w:val="32"/>
        </w:rPr>
        <w:t>附件 2 合同扫描件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 w:cs="宋体"/>
        <w:sz w:val="28"/>
      </w:rP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