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ind w:left="0" w:right="0"/>
        <w:outlineLvl w:val="0"/>
      </w:pPr>
      <w:r>
        <w:rPr>
          <w:rFonts w:ascii="Times New Roman" w:hAnsi="Times New Roman" w:eastAsia="黑体" w:cs="黑体"/>
          <w:b/>
          <w:sz w:val="32"/>
        </w:rPr>
        <w:t>一、测试章节</w:t>
      </w:r>
    </w:p>
    <w:p>
      <w:pPr>
        <w:spacing w:line="560" w:lineRule="exact"/>
        <w:ind w:left="0" w:right="0"/>
      </w:pPr>
    </w:p>
    <w:p>
      <w:pPr>
        <w:spacing w:line="560" w:lineRule="exact"/>
        <w:ind w:left="0" w:right="0"/>
      </w:pPr>
      <w:r>
        <w:rPr>
          <w:rFonts w:ascii="Times New Roman" w:hAnsi="Times New Roman" w:eastAsia="仿宋_GB2312" w:cs="仿宋_GB2312"/>
          <w:sz w:val="32"/>
        </w:rPr>
        <w:t>正文含 English 99 与表意文字。</w:t>
      </w:r>
    </w:p>
    <w:p>
      <w:pPr>
        <w:pStyle w:val="Heading2"/>
        <w:ind w:left="0" w:right="0"/>
        <w:outlineLvl w:val="1"/>
      </w:pPr>
      <w:r>
        <w:rPr>
          <w:rFonts w:ascii="Times New Roman" w:hAnsi="Times New Roman" w:eastAsia="楷体_GB2312" w:cs="楷体_GB2312"/>
          <w:b w:val="0"/>
          <w:sz w:val="32"/>
        </w:rPr>
        <w:t>Markdown 二级</w:t>
      </w:r>
    </w:p>
    <w:p>
      <w:pPr>
        <w:jc w:val="center"/>
      </w:pPr>
      <w:r>
        <w:rPr>
          <w:rFonts w:ascii="Times New Roman" w:hAnsi="Times New Roman" w:eastAsia="黑体" w:cs="黑体"/>
          <w:sz w:val="28"/>
        </w:rPr>
        <w:t>表4 文本模式表题</w:t>
      </w:r>
    </w:p>
    <w:p>
      <w:pPr>
        <w:ind w:left="0" w:right="0"/>
      </w:pPr>
      <w:r>
        <w:rPr>
          <w:rFonts w:ascii="Times New Roman" w:hAnsi="Times New Roman" w:eastAsia="黑体" w:cs="黑体"/>
          <w:b/>
          <w:sz w:val="32"/>
        </w:rPr>
        <w:t>附件1 测试附件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sz w:val="28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