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660" w:lineRule="exact"/>
        <w:jc w:val="center"/>
        <w:outlineLvl w:val="0"/>
      </w:pPr>
      <w:r>
        <w:rPr>
          <w:rFonts w:ascii="Times New Roman" w:hAnsi="Times New Roman" w:eastAsia="方正小标宋简体" w:cs="方正小标宋简体"/>
          <w:sz w:val="44"/>
        </w:rPr>
        <w:t>重点项目可行性研究报告</w:t>
      </w:r>
    </w:p>
    <w:p>
      <w:pPr>
        <w:pStyle w:val="Subtitle"/>
        <w:spacing w:line="660" w:lineRule="exact"/>
        <w:jc w:val="center"/>
      </w:pPr>
      <w:r>
        <w:rPr>
          <w:rFonts w:ascii="Times New Roman" w:hAnsi="Times New Roman" w:eastAsia="楷体_GB2312" w:cs="楷体_GB2312"/>
          <w:sz w:val="32"/>
        </w:rPr>
        <w:t>某市发展和改革委员会</w:t>
      </w:r>
    </w:p>
    <w:p>
      <w:pPr>
        <w:pStyle w:val="Heading1"/>
        <w:ind w:left="0" w:right="0"/>
        <w:outlineLvl w:val="0"/>
      </w:pPr>
      <w:r>
        <w:rPr>
          <w:rFonts w:ascii="Times New Roman" w:hAnsi="Times New Roman" w:eastAsia="黑体" w:cs="黑体"/>
          <w:b/>
          <w:sz w:val="32"/>
        </w:rPr>
        <w:t>一、项目概况</w:t>
      </w:r>
    </w:p>
    <w:p>
      <w:pPr>
        <w:pStyle w:val="Heading2"/>
        <w:ind w:left="0" w:right="0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（一）建设背景</w:t>
      </w: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项目位于新城片区，总投资约 3.5 亿元，建设期 24 个月。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表1 投资估算表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rHeight w:val="397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费用类别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金额(万元)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占比</w:t>
            </w:r>
          </w:p>
        </w:tc>
      </w:tr>
      <w:tr>
        <w:trPr>
          <w:trHeight w:val="397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建安费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28000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80%</w:t>
            </w:r>
          </w:p>
        </w:tc>
      </w:tr>
    </w:tbl>
    <w:p>
      <w:pPr>
        <w:jc w:val="center"/>
      </w:pPr>
      <w:r>
        <w:rPr>
          <w:rFonts w:ascii="Times New Roman" w:hAnsi="Times New Roman" w:eastAsia="黑体" w:cs="黑体"/>
          <w:sz w:val="28"/>
        </w:rPr>
        <w:t>图1 区位示意图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