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60" w:lineRule="exact"/>
        <w:jc w:val="center"/>
        <w:outlineLvl w:val="0"/>
      </w:pPr>
      <w:r>
        <w:rPr>
          <w:rFonts w:ascii="Times New Roman" w:hAnsi="Times New Roman" w:eastAsia="方正小标宋简体" w:cs="方正小标宋简体"/>
          <w:sz w:val="44"/>
        </w:rPr>
        <w:t>重点项目可行性研究报告</w:t>
      </w:r>
    </w:p>
    <w:p>
      <w:pPr>
        <w:pStyle w:val="Subtitle"/>
        <w:spacing w:line="660" w:lineRule="exact"/>
        <w:jc w:val="center"/>
      </w:pPr>
      <w:r>
        <w:rPr>
          <w:rFonts w:ascii="Times New Roman" w:hAnsi="Times New Roman" w:eastAsia="楷体_GB2312" w:cs="楷体_GB2312"/>
          <w:sz w:val="32"/>
        </w:rPr>
        <w:t>某市发展和改革委员会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一、项目概况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（一）建设背景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项目位于新城片区，总投资约 3.5 亿元，建设期 24 个月。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表1 投资估算表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rHeight w:val="397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费用类别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金额(万元)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占比</w:t>
            </w:r>
          </w:p>
        </w:tc>
      </w:tr>
      <w:tr>
        <w:trPr>
          <w:trHeight w:val="397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建安费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28000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80%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图1 区位示意图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