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三、纯文本标题识别测试</w:t>
      </w:r>
    </w:p>
    <w:p>
      <w:r>
        <w:t>（四）二级标题启发式</w:t>
      </w:r>
    </w:p>
    <w:p>
      <w:r>
        <w:t>本段为普通正文，无内置 Heading 样式，仅通过排版引擎规则处理。</w:t>
      </w:r>
    </w:p>
    <w:p>
      <w:r>
        <w:t>表3 启发式表题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列A</w:t>
            </w:r>
          </w:p>
        </w:tc>
        <w:tc>
          <w:tcPr>
            <w:tcW w:type="dxa" w:w="4320"/>
          </w:tcPr>
          <w:p>
            <w:r>
              <w:t>列B</w:t>
            </w:r>
          </w:p>
        </w:tc>
      </w:tr>
      <w:tr>
        <w:tc>
          <w:tcPr>
            <w:tcW w:type="dxa" w:w="4320"/>
          </w:tcPr>
          <w:p>
            <w:r>
              <w:t>数据1</w:t>
            </w:r>
          </w:p>
        </w:tc>
        <w:tc>
          <w:tcPr>
            <w:tcW w:type="dxa" w:w="4320"/>
          </w:tcPr>
          <w:p>
            <w:r>
              <w:t>数据2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