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0" w:right="0"/>
        <w:outlineLvl w:val="0"/>
      </w:pPr>
      <w:r>
        <w:rPr>
          <w:rFonts w:ascii="Times New Roman" w:hAnsi="Times New Roman" w:eastAsia="黑体" w:cs="黑体"/>
          <w:b/>
          <w:sz w:val="32"/>
        </w:rPr>
        <w:t>三、纯文本标题识别测试</w:t>
      </w:r>
    </w:p>
    <w:p>
      <w:pPr>
        <w:ind w:left="0" w:right="0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（四）二级标题启发式</w:t>
      </w:r>
    </w:p>
    <w:p>
      <w:pPr>
        <w:spacing w:line="560" w:lineRule="exact"/>
        <w:ind w:left="0" w:right="0"/>
      </w:pPr>
      <w:r>
        <w:rPr>
          <w:rFonts w:ascii="Times New Roman" w:hAnsi="Times New Roman" w:eastAsia="仿宋_GB2312" w:cs="仿宋_GB2312"/>
          <w:sz w:val="32"/>
        </w:rPr>
        <w:t>本段为普通正文，无内置 Heading 样式，仅通过排版引擎规则处理。</w:t>
      </w:r>
    </w:p>
    <w:p>
      <w:pPr>
        <w:jc w:val="center"/>
      </w:pPr>
      <w:r>
        <w:rPr>
          <w:rFonts w:ascii="Times New Roman" w:hAnsi="Times New Roman" w:eastAsia="黑体" w:cs="黑体"/>
          <w:sz w:val="28"/>
        </w:rPr>
        <w:t>表3 启发式表题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rPr>
          <w:trHeight w:val="397"/>
        </w:trPr>
        <w:tc>
          <w:tcPr>
            <w:tcW w:type="dxa" w:w="432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列A</w:t>
            </w:r>
          </w:p>
        </w:tc>
        <w:tc>
          <w:tcPr>
            <w:tcW w:type="dxa" w:w="432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列B</w:t>
            </w:r>
          </w:p>
        </w:tc>
      </w:tr>
      <w:tr>
        <w:trPr>
          <w:trHeight w:val="397"/>
        </w:trPr>
        <w:tc>
          <w:tcPr>
            <w:tcW w:type="dxa" w:w="432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数据1</w:t>
            </w:r>
          </w:p>
        </w:tc>
        <w:tc>
          <w:tcPr>
            <w:tcW w:type="dxa" w:w="432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数据2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797" w:bottom="1440" w:left="1797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sz w:val="2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